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keepNext w:val="0"/>
        <w:keepLines w:val="0"/>
        <w:pageBreakBefore w:val="0"/>
        <w:widowControl w:val="0"/>
        <w:kinsoku/>
        <w:wordWrap/>
        <w:overflowPunct/>
        <w:topLinePunct w:val="0"/>
        <w:autoSpaceDE/>
        <w:autoSpaceDN/>
        <w:bidi w:val="0"/>
        <w:spacing w:line="560" w:lineRule="exact"/>
        <w:textAlignment w:val="auto"/>
        <w:outlineLvl w:val="9"/>
        <w:rPr>
          <w:rFonts w:hint="eastAsia" w:ascii="黑体" w:hAnsi="黑体" w:eastAsia="黑体" w:cs="黑体"/>
          <w:color w:val="auto"/>
          <w:sz w:val="32"/>
          <w:szCs w:val="32"/>
          <w:highlight w:val="none"/>
          <w:lang w:val="en-US" w:eastAsia="zh-CN"/>
        </w:rPr>
      </w:pPr>
      <w:bookmarkStart w:id="0" w:name="_GoBack"/>
      <w:r>
        <w:rPr>
          <w:rFonts w:hint="eastAsia" w:ascii="黑体" w:hAnsi="黑体" w:eastAsia="黑体" w:cs="黑体"/>
          <w:color w:val="auto"/>
          <w:sz w:val="32"/>
          <w:szCs w:val="32"/>
          <w:highlight w:val="none"/>
          <w:lang w:val="en-US" w:eastAsia="zh-CN"/>
        </w:rPr>
        <w:t>附件2</w:t>
      </w:r>
    </w:p>
    <w:bookmarkEnd w:id="0"/>
    <w:p>
      <w:pPr>
        <w:pStyle w:val="6"/>
        <w:keepNext w:val="0"/>
        <w:keepLines w:val="0"/>
        <w:pageBreakBefore w:val="0"/>
        <w:widowControl w:val="0"/>
        <w:kinsoku/>
        <w:wordWrap/>
        <w:overflowPunct/>
        <w:topLinePunct w:val="0"/>
        <w:autoSpaceDE/>
        <w:autoSpaceDN/>
        <w:bidi w:val="0"/>
        <w:spacing w:before="0" w:beforeAutospacing="0" w:after="0" w:afterAutospacing="0" w:line="560" w:lineRule="exact"/>
        <w:jc w:val="both"/>
        <w:textAlignment w:val="auto"/>
        <w:outlineLvl w:val="9"/>
        <w:rPr>
          <w:rFonts w:hint="eastAsia" w:ascii="方正小标宋简体" w:hAnsi="宋体" w:eastAsia="方正小标宋简体" w:cs="宋体"/>
          <w:spacing w:val="15"/>
          <w:sz w:val="44"/>
          <w:szCs w:val="44"/>
          <w:lang w:val="en-US" w:eastAsia="zh-CN"/>
        </w:rPr>
      </w:pPr>
    </w:p>
    <w:p>
      <w:pPr>
        <w:pStyle w:val="10"/>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《福建省食品安全信用风险分级管理工作规范（征求意见稿）》修订说明</w:t>
      </w:r>
    </w:p>
    <w:p>
      <w:pPr>
        <w:keepNext w:val="0"/>
        <w:keepLines w:val="0"/>
        <w:pageBreakBefore w:val="0"/>
        <w:widowControl w:val="0"/>
        <w:kinsoku/>
        <w:wordWrap/>
        <w:overflowPunct/>
        <w:topLinePunct w:val="0"/>
        <w:autoSpaceDE/>
        <w:autoSpaceDN/>
        <w:bidi w:val="0"/>
        <w:adjustRightInd w:val="0"/>
        <w:snapToGrid w:val="0"/>
        <w:spacing w:line="560" w:lineRule="exact"/>
        <w:ind w:firstLine="640"/>
        <w:textAlignment w:val="auto"/>
        <w:outlineLvl w:val="9"/>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9"/>
        <w:rPr>
          <w:rFonts w:hint="eastAsia" w:ascii="黑体" w:hAnsi="黑体" w:eastAsia="黑体" w:cs="黑体"/>
          <w:b w:val="0"/>
          <w:bCs/>
          <w:color w:val="auto"/>
          <w:sz w:val="32"/>
          <w:szCs w:val="32"/>
          <w:lang w:val="en-US" w:eastAsia="zh-CN"/>
        </w:rPr>
      </w:pPr>
      <w:r>
        <w:rPr>
          <w:rFonts w:hint="eastAsia" w:ascii="黑体" w:hAnsi="黑体" w:eastAsia="黑体" w:cs="黑体"/>
          <w:b w:val="0"/>
          <w:bCs/>
          <w:color w:val="auto"/>
          <w:sz w:val="32"/>
          <w:szCs w:val="32"/>
        </w:rPr>
        <w:t>一、</w:t>
      </w:r>
      <w:r>
        <w:rPr>
          <w:rFonts w:hint="eastAsia" w:ascii="黑体" w:hAnsi="黑体" w:eastAsia="黑体" w:cs="黑体"/>
          <w:b w:val="0"/>
          <w:bCs/>
          <w:color w:val="auto"/>
          <w:sz w:val="32"/>
          <w:szCs w:val="32"/>
          <w:lang w:val="en-US" w:eastAsia="zh-CN"/>
        </w:rPr>
        <w:t>修订</w:t>
      </w:r>
      <w:r>
        <w:rPr>
          <w:rFonts w:hint="eastAsia" w:ascii="黑体" w:hAnsi="黑体" w:eastAsia="黑体" w:cs="黑体"/>
          <w:b w:val="0"/>
          <w:bCs/>
          <w:color w:val="auto"/>
          <w:sz w:val="32"/>
          <w:szCs w:val="32"/>
        </w:rPr>
        <w:t>背景</w:t>
      </w:r>
    </w:p>
    <w:p>
      <w:pPr>
        <w:pStyle w:val="10"/>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Times New Roman" w:hAnsi="Times New Roman" w:eastAsia="仿宋_GB2312" w:cs="Times New Roman"/>
          <w:sz w:val="32"/>
          <w:szCs w:val="32"/>
          <w:highlight w:val="none"/>
          <w:lang w:val="en-US" w:eastAsia="zh-CN"/>
        </w:rPr>
      </w:pPr>
      <w:r>
        <w:rPr>
          <w:rFonts w:hint="eastAsia" w:eastAsia="仿宋_GB2312" w:cs="Times New Roman"/>
          <w:color w:val="auto"/>
          <w:sz w:val="32"/>
          <w:szCs w:val="32"/>
          <w:highlight w:val="none"/>
          <w:lang w:val="en-US" w:eastAsia="zh-CN"/>
        </w:rPr>
        <w:t>为贯彻落实《食品安全法》及其实施条例有关规定，</w:t>
      </w:r>
      <w:r>
        <w:rPr>
          <w:rFonts w:hint="eastAsia" w:ascii="仿宋_GB2312" w:hAnsi="仿宋_GB2312" w:eastAsia="仿宋_GB2312" w:cs="仿宋_GB2312"/>
          <w:sz w:val="32"/>
          <w:szCs w:val="32"/>
          <w:lang w:val="en-US" w:eastAsia="zh-CN"/>
        </w:rPr>
        <w:t>2021年11月，福建省</w:t>
      </w:r>
      <w:r>
        <w:rPr>
          <w:rFonts w:hint="eastAsia" w:ascii="Times New Roman" w:hAnsi="Times New Roman" w:eastAsia="仿宋_GB2312" w:cs="Times New Roman"/>
          <w:sz w:val="32"/>
          <w:szCs w:val="32"/>
          <w:highlight w:val="none"/>
          <w:lang w:val="en-US" w:eastAsia="zh-CN"/>
        </w:rPr>
        <w:t>市场监管局出台《</w:t>
      </w:r>
      <w:r>
        <w:rPr>
          <w:rFonts w:hint="default" w:ascii="Times New Roman" w:hAnsi="Times New Roman" w:eastAsia="仿宋_GB2312" w:cs="Times New Roman"/>
          <w:sz w:val="32"/>
          <w:szCs w:val="32"/>
          <w:highlight w:val="none"/>
          <w:lang w:val="en-US" w:eastAsia="zh-CN"/>
        </w:rPr>
        <w:t>福建省食品安全风险分级管理工作规范</w:t>
      </w:r>
      <w:r>
        <w:rPr>
          <w:rFonts w:hint="eastAsia" w:ascii="Times New Roman" w:hAnsi="Times New Roman" w:eastAsia="仿宋_GB2312" w:cs="Times New Roman"/>
          <w:sz w:val="32"/>
          <w:szCs w:val="32"/>
          <w:highlight w:val="none"/>
          <w:lang w:val="en-US" w:eastAsia="zh-CN"/>
        </w:rPr>
        <w:t>（试行）》（闽市监综〔202</w:t>
      </w:r>
      <w:r>
        <w:rPr>
          <w:rFonts w:hint="eastAsia"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val="en-US" w:eastAsia="zh-CN"/>
        </w:rPr>
        <w:t>〕</w:t>
      </w:r>
      <w:r>
        <w:rPr>
          <w:rFonts w:hint="eastAsia" w:eastAsia="仿宋_GB2312" w:cs="Times New Roman"/>
          <w:sz w:val="32"/>
          <w:szCs w:val="32"/>
          <w:highlight w:val="none"/>
          <w:lang w:val="en-US" w:eastAsia="zh-CN"/>
        </w:rPr>
        <w:t>201</w:t>
      </w:r>
      <w:r>
        <w:rPr>
          <w:rFonts w:hint="eastAsia" w:ascii="Times New Roman" w:hAnsi="Times New Roman" w:eastAsia="仿宋_GB2312" w:cs="Times New Roman"/>
          <w:sz w:val="32"/>
          <w:szCs w:val="32"/>
          <w:highlight w:val="none"/>
          <w:lang w:val="en-US" w:eastAsia="zh-CN"/>
        </w:rPr>
        <w:t>号</w:t>
      </w:r>
      <w:r>
        <w:rPr>
          <w:rFonts w:hint="eastAsia" w:eastAsia="仿宋_GB2312" w:cs="Times New Roman"/>
          <w:sz w:val="32"/>
          <w:szCs w:val="32"/>
          <w:highlight w:val="none"/>
          <w:lang w:val="en-US" w:eastAsia="zh-CN"/>
        </w:rPr>
        <w:t>），</w:t>
      </w:r>
      <w:r>
        <w:rPr>
          <w:rFonts w:hint="eastAsia" w:ascii="Times New Roman" w:hAnsi="Times New Roman" w:eastAsia="仿宋_GB2312" w:cs="Times New Roman"/>
          <w:sz w:val="32"/>
          <w:szCs w:val="32"/>
          <w:highlight w:val="none"/>
          <w:lang w:val="en-US" w:eastAsia="zh-CN"/>
        </w:rPr>
        <w:t>对全省食品生产经营者实施分类监管和科学监管，</w:t>
      </w:r>
      <w:r>
        <w:rPr>
          <w:rFonts w:hint="eastAsia" w:eastAsia="仿宋_GB2312" w:cs="Times New Roman"/>
          <w:sz w:val="32"/>
          <w:szCs w:val="32"/>
          <w:highlight w:val="none"/>
          <w:lang w:val="en-US" w:eastAsia="zh-CN"/>
        </w:rPr>
        <w:t>并于2022年3月进行了一次修订（修订版</w:t>
      </w:r>
      <w:r>
        <w:rPr>
          <w:rFonts w:hint="eastAsia" w:ascii="Times New Roman" w:hAnsi="Times New Roman" w:eastAsia="仿宋_GB2312" w:cs="Times New Roman"/>
          <w:sz w:val="32"/>
          <w:szCs w:val="32"/>
          <w:highlight w:val="none"/>
          <w:lang w:val="en-US" w:eastAsia="zh-CN"/>
        </w:rPr>
        <w:t>以下简称原《规范》</w:t>
      </w:r>
      <w:r>
        <w:rPr>
          <w:rFonts w:hint="eastAsia" w:eastAsia="仿宋_GB2312" w:cs="Times New Roman"/>
          <w:sz w:val="32"/>
          <w:szCs w:val="32"/>
          <w:highlight w:val="none"/>
          <w:lang w:val="en-US" w:eastAsia="zh-CN"/>
        </w:rPr>
        <w:t>）</w:t>
      </w:r>
      <w:r>
        <w:rPr>
          <w:rFonts w:hint="eastAsia" w:ascii="Times New Roman" w:hAnsi="Times New Roman" w:eastAsia="仿宋_GB2312" w:cs="Times New Roman"/>
          <w:sz w:val="32"/>
          <w:szCs w:val="32"/>
          <w:highlight w:val="none"/>
          <w:lang w:val="en-US" w:eastAsia="zh-CN"/>
        </w:rPr>
        <w:t>，有效提升了我省食品安全监管工作的科学性、风险防控的有效性和</w:t>
      </w:r>
      <w:r>
        <w:rPr>
          <w:rFonts w:hint="default" w:ascii="Times New Roman" w:hAnsi="Times New Roman" w:eastAsia="仿宋_GB2312" w:cs="Times New Roman"/>
          <w:sz w:val="32"/>
          <w:szCs w:val="32"/>
          <w:highlight w:val="none"/>
          <w:lang w:val="en-US" w:eastAsia="zh-CN"/>
        </w:rPr>
        <w:t>监管资源配置</w:t>
      </w:r>
      <w:r>
        <w:rPr>
          <w:rFonts w:hint="eastAsia" w:ascii="Times New Roman" w:hAnsi="Times New Roman" w:eastAsia="仿宋_GB2312" w:cs="Times New Roman"/>
          <w:sz w:val="32"/>
          <w:szCs w:val="32"/>
          <w:highlight w:val="none"/>
          <w:lang w:val="en-US" w:eastAsia="zh-CN"/>
        </w:rPr>
        <w:t>的</w:t>
      </w:r>
      <w:r>
        <w:rPr>
          <w:rFonts w:hint="default" w:ascii="Times New Roman" w:hAnsi="Times New Roman" w:eastAsia="仿宋_GB2312" w:cs="Times New Roman"/>
          <w:sz w:val="32"/>
          <w:szCs w:val="32"/>
          <w:highlight w:val="none"/>
          <w:lang w:val="en-US" w:eastAsia="zh-CN"/>
        </w:rPr>
        <w:t>合理</w:t>
      </w:r>
      <w:r>
        <w:rPr>
          <w:rFonts w:hint="eastAsia" w:ascii="Times New Roman" w:hAnsi="Times New Roman" w:eastAsia="仿宋_GB2312" w:cs="Times New Roman"/>
          <w:sz w:val="32"/>
          <w:szCs w:val="32"/>
          <w:highlight w:val="none"/>
          <w:lang w:val="en-US" w:eastAsia="zh-CN"/>
        </w:rPr>
        <w:t>性</w:t>
      </w:r>
      <w:r>
        <w:rPr>
          <w:rFonts w:hint="default" w:ascii="Times New Roman" w:hAnsi="Times New Roman" w:eastAsia="仿宋_GB2312" w:cs="Times New Roman"/>
          <w:sz w:val="32"/>
          <w:szCs w:val="32"/>
          <w:highlight w:val="none"/>
          <w:lang w:val="en-US" w:eastAsia="zh-CN"/>
        </w:rPr>
        <w:t>，提高</w:t>
      </w:r>
      <w:r>
        <w:rPr>
          <w:rFonts w:hint="eastAsia" w:ascii="Times New Roman" w:hAnsi="Times New Roman" w:eastAsia="仿宋_GB2312" w:cs="Times New Roman"/>
          <w:sz w:val="32"/>
          <w:szCs w:val="32"/>
          <w:highlight w:val="none"/>
          <w:lang w:val="en-US" w:eastAsia="zh-CN"/>
        </w:rPr>
        <w:t>了我省</w:t>
      </w:r>
      <w:r>
        <w:rPr>
          <w:rFonts w:hint="default" w:ascii="Times New Roman" w:hAnsi="Times New Roman" w:eastAsia="仿宋_GB2312" w:cs="Times New Roman"/>
          <w:sz w:val="32"/>
          <w:szCs w:val="32"/>
          <w:highlight w:val="none"/>
          <w:lang w:val="en-US" w:eastAsia="zh-CN"/>
        </w:rPr>
        <w:t>食品安全监管效能</w:t>
      </w:r>
      <w:r>
        <w:rPr>
          <w:rFonts w:hint="eastAsia" w:ascii="Times New Roman" w:hAnsi="Times New Roman" w:eastAsia="仿宋_GB2312" w:cs="Times New Roman"/>
          <w:sz w:val="32"/>
          <w:szCs w:val="32"/>
          <w:highlight w:val="none"/>
          <w:lang w:val="en-US" w:eastAsia="zh-CN"/>
        </w:rPr>
        <w:t>。但随着市场监管总局公布《企业落实食品安全主体责任监督管理规定》（国家市场监管总局令第60号）《食品经营许可和备案管理办法》（国家市场监管总局令第78号）《食用农产品市场销售质量安全监督管理办法》（国家市场监管总局令第81号）等规章制度，福建省人民政府修订并公布《</w:t>
      </w:r>
      <w:r>
        <w:rPr>
          <w:rFonts w:hint="default" w:ascii="Times New Roman" w:hAnsi="Times New Roman" w:eastAsia="仿宋_GB2312" w:cs="Times New Roman"/>
          <w:sz w:val="32"/>
          <w:szCs w:val="32"/>
          <w:highlight w:val="none"/>
          <w:lang w:val="en-US" w:eastAsia="zh-CN"/>
        </w:rPr>
        <w:t>福建省食品安全信息追溯管理办法》</w:t>
      </w:r>
      <w:r>
        <w:rPr>
          <w:rFonts w:hint="eastAsia" w:ascii="Times New Roman" w:hAnsi="Times New Roman" w:eastAsia="仿宋_GB2312" w:cs="Times New Roman"/>
          <w:sz w:val="32"/>
          <w:szCs w:val="32"/>
          <w:highlight w:val="none"/>
          <w:lang w:val="en-US" w:eastAsia="zh-CN"/>
        </w:rPr>
        <w:t>（福建省人民政府令第238号），原《规范》已经不能适应</w:t>
      </w:r>
      <w:r>
        <w:rPr>
          <w:rFonts w:hint="eastAsia" w:eastAsia="仿宋_GB2312" w:cs="Times New Roman"/>
          <w:sz w:val="32"/>
          <w:szCs w:val="32"/>
          <w:highlight w:val="none"/>
          <w:lang w:val="en-US" w:eastAsia="zh-CN"/>
        </w:rPr>
        <w:t>我省</w:t>
      </w:r>
      <w:r>
        <w:rPr>
          <w:rFonts w:hint="eastAsia" w:ascii="Times New Roman" w:hAnsi="Times New Roman" w:eastAsia="仿宋_GB2312" w:cs="Times New Roman"/>
          <w:sz w:val="32"/>
          <w:szCs w:val="32"/>
          <w:highlight w:val="none"/>
          <w:lang w:val="en-US" w:eastAsia="zh-CN"/>
        </w:rPr>
        <w:t>当前</w:t>
      </w:r>
      <w:r>
        <w:rPr>
          <w:rFonts w:hint="eastAsia" w:eastAsia="仿宋_GB2312" w:cs="Times New Roman"/>
          <w:sz w:val="32"/>
          <w:szCs w:val="32"/>
          <w:highlight w:val="none"/>
          <w:lang w:val="en-US" w:eastAsia="zh-CN"/>
        </w:rPr>
        <w:t>食品安全监管</w:t>
      </w:r>
      <w:r>
        <w:rPr>
          <w:rFonts w:hint="eastAsia" w:ascii="Times New Roman" w:hAnsi="Times New Roman" w:eastAsia="仿宋_GB2312" w:cs="Times New Roman"/>
          <w:sz w:val="32"/>
          <w:szCs w:val="32"/>
          <w:highlight w:val="none"/>
          <w:lang w:val="en-US" w:eastAsia="zh-CN"/>
        </w:rPr>
        <w:t>实践的需要，亟需修订和完善。</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9"/>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二、修订的主要内容</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规范》修订工作坚持立足食品生产经营实际和基层监管实践，针对近年来探索实践过程中的新情况新问题，做好相关制度衔接，推动食品安全风险分级与信用风险分类深度融合，运用信息化手段，为实施精准有效监管提供支撑，对</w:t>
      </w:r>
      <w:r>
        <w:rPr>
          <w:rFonts w:hint="eastAsia" w:ascii="Times New Roman" w:hAnsi="Times New Roman" w:eastAsia="仿宋_GB2312"/>
          <w:sz w:val="32"/>
          <w:szCs w:val="32"/>
        </w:rPr>
        <w:t>原《</w:t>
      </w:r>
      <w:r>
        <w:rPr>
          <w:rFonts w:hint="eastAsia" w:ascii="Times New Roman" w:hAnsi="Times New Roman" w:eastAsia="仿宋_GB2312"/>
          <w:sz w:val="32"/>
          <w:szCs w:val="32"/>
          <w:lang w:val="en-US" w:eastAsia="zh-CN"/>
        </w:rPr>
        <w:t>规范</w:t>
      </w:r>
      <w:r>
        <w:rPr>
          <w:rFonts w:hint="eastAsia" w:ascii="Times New Roman" w:hAnsi="Times New Roman" w:eastAsia="仿宋_GB2312"/>
          <w:sz w:val="32"/>
          <w:szCs w:val="32"/>
        </w:rPr>
        <w:t>》</w:t>
      </w:r>
      <w:r>
        <w:rPr>
          <w:rFonts w:hint="eastAsia" w:ascii="Times New Roman" w:hAnsi="Times New Roman" w:eastAsia="仿宋_GB2312" w:cs="Times New Roman"/>
          <w:sz w:val="32"/>
          <w:szCs w:val="32"/>
          <w:highlight w:val="none"/>
          <w:lang w:val="en-US" w:eastAsia="zh-CN"/>
        </w:rPr>
        <w:t xml:space="preserve">内容作了较大调整和补充，修订后的《规范》共37条，主要内容说明如下： </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Times New Roman" w:hAnsi="Times New Roman" w:eastAsia="仿宋_GB2312" w:cs="Times New Roman"/>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一是融合信用风险分类管理制度。</w:t>
      </w:r>
      <w:r>
        <w:rPr>
          <w:rFonts w:hint="eastAsia" w:ascii="Times New Roman" w:hAnsi="Times New Roman" w:eastAsia="仿宋_GB2312" w:cs="Times New Roman"/>
          <w:sz w:val="32"/>
          <w:szCs w:val="32"/>
          <w:highlight w:val="none"/>
          <w:lang w:val="en-US" w:eastAsia="zh-CN"/>
        </w:rPr>
        <w:t>市场监管总局印发《全国市场监管系统深化信用提升助力经营主体高质量发展三年行动方案（2024—2026）》(国市监信发〔</w:t>
      </w:r>
      <w:r>
        <w:rPr>
          <w:rFonts w:hint="default" w:ascii="Times New Roman" w:hAnsi="Times New Roman" w:eastAsia="仿宋_GB2312" w:cs="Times New Roman"/>
          <w:sz w:val="32"/>
          <w:szCs w:val="32"/>
          <w:highlight w:val="none"/>
          <w:lang w:val="en-US" w:eastAsia="zh-CN"/>
        </w:rPr>
        <w:t>2024〕69号)</w:t>
      </w:r>
      <w:r>
        <w:rPr>
          <w:rFonts w:hint="eastAsia" w:ascii="Times New Roman" w:hAnsi="Times New Roman" w:eastAsia="仿宋_GB2312" w:cs="Times New Roman"/>
          <w:sz w:val="32"/>
          <w:szCs w:val="32"/>
          <w:highlight w:val="none"/>
          <w:lang w:val="en-US" w:eastAsia="zh-CN"/>
        </w:rPr>
        <w:t>的通知，明确要求要“拓展信用风险分类管理”，持续推动信用风险分类与专业领域风险深度融合。此次《规范》修订，将《</w:t>
      </w:r>
      <w:r>
        <w:rPr>
          <w:rFonts w:hint="default" w:ascii="Times New Roman" w:hAnsi="Times New Roman" w:eastAsia="仿宋_GB2312" w:cs="Times New Roman"/>
          <w:sz w:val="32"/>
          <w:szCs w:val="32"/>
          <w:highlight w:val="none"/>
          <w:lang w:val="en-US" w:eastAsia="zh-CN"/>
        </w:rPr>
        <w:t>福建省食品安全风险分级管理工作规范</w:t>
      </w:r>
      <w:r>
        <w:rPr>
          <w:rFonts w:hint="eastAsia" w:ascii="Times New Roman" w:hAnsi="Times New Roman" w:eastAsia="仿宋_GB2312" w:cs="Times New Roman"/>
          <w:sz w:val="32"/>
          <w:szCs w:val="32"/>
          <w:highlight w:val="none"/>
          <w:lang w:val="en-US" w:eastAsia="zh-CN"/>
        </w:rPr>
        <w:t>（试行）》名称修改为《</w:t>
      </w:r>
      <w:r>
        <w:rPr>
          <w:rFonts w:hint="default" w:ascii="Times New Roman" w:hAnsi="Times New Roman" w:eastAsia="仿宋_GB2312" w:cs="Times New Roman"/>
          <w:sz w:val="32"/>
          <w:szCs w:val="32"/>
          <w:highlight w:val="none"/>
          <w:lang w:val="en-US" w:eastAsia="zh-CN"/>
        </w:rPr>
        <w:t>福建省</w:t>
      </w:r>
      <w:r>
        <w:rPr>
          <w:rFonts w:hint="eastAsia" w:ascii="Times New Roman" w:hAnsi="Times New Roman" w:eastAsia="仿宋_GB2312" w:cs="Times New Roman"/>
          <w:sz w:val="32"/>
          <w:szCs w:val="32"/>
          <w:highlight w:val="none"/>
          <w:lang w:val="en-US" w:eastAsia="zh-CN"/>
        </w:rPr>
        <w:t>食品安全信用风险分级</w:t>
      </w:r>
      <w:r>
        <w:rPr>
          <w:rFonts w:hint="default" w:ascii="Times New Roman" w:hAnsi="Times New Roman" w:eastAsia="仿宋_GB2312" w:cs="Times New Roman"/>
          <w:sz w:val="32"/>
          <w:szCs w:val="32"/>
          <w:highlight w:val="none"/>
          <w:lang w:val="en-US" w:eastAsia="zh-CN"/>
        </w:rPr>
        <w:t>管理工作规范</w:t>
      </w:r>
      <w:r>
        <w:rPr>
          <w:rFonts w:hint="eastAsia" w:ascii="Times New Roman" w:hAnsi="Times New Roman" w:eastAsia="仿宋_GB2312" w:cs="Times New Roman"/>
          <w:sz w:val="32"/>
          <w:szCs w:val="32"/>
          <w:highlight w:val="none"/>
          <w:lang w:val="en-US" w:eastAsia="zh-CN"/>
        </w:rPr>
        <w:t>》，引入通用型信用风险分类结果，并将信用风险因素在评定食品生产经营者信用风险等级中的比重设置为20%。</w:t>
      </w:r>
    </w:p>
    <w:p>
      <w:pPr>
        <w:pStyle w:val="10"/>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Arial" w:eastAsia="仿宋_GB2312" w:cs="Arial"/>
          <w:color w:val="000000"/>
          <w:kern w:val="0"/>
          <w:sz w:val="32"/>
          <w:szCs w:val="32"/>
          <w:lang w:val="en-US" w:eastAsia="zh-CN"/>
        </w:rPr>
      </w:pPr>
      <w:r>
        <w:rPr>
          <w:rFonts w:hint="eastAsia" w:ascii="楷体_GB2312" w:hAnsi="楷体_GB2312" w:eastAsia="楷体_GB2312" w:cs="楷体_GB2312"/>
          <w:b/>
          <w:bCs/>
          <w:kern w:val="2"/>
          <w:sz w:val="32"/>
          <w:szCs w:val="32"/>
          <w:highlight w:val="none"/>
          <w:lang w:val="en-US" w:eastAsia="zh-CN" w:bidi="ar-SA"/>
        </w:rPr>
        <w:t>二是明确食品安全信用风险等级构成。</w:t>
      </w:r>
      <w:r>
        <w:rPr>
          <w:rFonts w:hint="eastAsia" w:ascii="Times New Roman" w:hAnsi="Times New Roman" w:eastAsia="仿宋_GB2312"/>
          <w:sz w:val="32"/>
          <w:szCs w:val="32"/>
        </w:rPr>
        <w:t>明确</w:t>
      </w:r>
      <w:r>
        <w:rPr>
          <w:rFonts w:hint="eastAsia" w:ascii="仿宋_GB2312" w:hAnsi="仿宋_GB2312" w:eastAsia="仿宋_GB2312" w:cs="仿宋_GB2312"/>
          <w:color w:val="000000"/>
          <w:sz w:val="32"/>
          <w:szCs w:val="32"/>
        </w:rPr>
        <w:t>食品</w:t>
      </w:r>
      <w:r>
        <w:rPr>
          <w:rFonts w:hint="eastAsia" w:ascii="仿宋_GB2312" w:hAnsi="仿宋_GB2312" w:eastAsia="仿宋_GB2312" w:cs="仿宋_GB2312"/>
          <w:color w:val="000000"/>
          <w:sz w:val="32"/>
          <w:szCs w:val="32"/>
          <w:lang w:val="en-US" w:eastAsia="zh-CN"/>
        </w:rPr>
        <w:t>生产</w:t>
      </w:r>
      <w:r>
        <w:rPr>
          <w:rFonts w:hint="eastAsia" w:ascii="仿宋_GB2312" w:hAnsi="仿宋_GB2312" w:eastAsia="仿宋_GB2312" w:cs="仿宋_GB2312"/>
          <w:color w:val="000000"/>
          <w:sz w:val="32"/>
          <w:szCs w:val="32"/>
        </w:rPr>
        <w:t>经营者</w:t>
      </w:r>
      <w:r>
        <w:rPr>
          <w:rFonts w:hint="eastAsia" w:ascii="仿宋_GB2312" w:hAnsi="仿宋_GB2312" w:eastAsia="仿宋_GB2312" w:cs="仿宋_GB2312"/>
          <w:color w:val="000000"/>
          <w:sz w:val="32"/>
          <w:szCs w:val="32"/>
          <w:lang w:val="en-US" w:eastAsia="zh-CN"/>
        </w:rPr>
        <w:t>食品安全信用风险</w:t>
      </w:r>
      <w:r>
        <w:rPr>
          <w:rFonts w:hint="eastAsia" w:ascii="仿宋_GB2312" w:hAnsi="仿宋_GB2312" w:eastAsia="仿宋_GB2312" w:cs="仿宋_GB2312"/>
          <w:color w:val="000000"/>
          <w:sz w:val="32"/>
          <w:szCs w:val="32"/>
        </w:rPr>
        <w:t>等级</w:t>
      </w:r>
      <w:r>
        <w:rPr>
          <w:rFonts w:hint="eastAsia" w:ascii="仿宋_GB2312" w:hAnsi="仿宋_GB2312" w:eastAsia="仿宋_GB2312" w:cs="仿宋_GB2312"/>
          <w:color w:val="000000"/>
          <w:sz w:val="32"/>
          <w:szCs w:val="32"/>
          <w:lang w:val="en-US" w:eastAsia="zh-CN"/>
        </w:rPr>
        <w:t>，包含</w:t>
      </w:r>
      <w:r>
        <w:rPr>
          <w:rFonts w:ascii="仿宋_GB2312" w:hAnsi="Arial" w:eastAsia="仿宋_GB2312" w:cs="Arial"/>
          <w:color w:val="000000"/>
          <w:kern w:val="0"/>
          <w:sz w:val="32"/>
          <w:szCs w:val="32"/>
        </w:rPr>
        <w:t>食品生产</w:t>
      </w:r>
      <w:r>
        <w:rPr>
          <w:rFonts w:hint="eastAsia" w:ascii="仿宋_GB2312" w:hAnsi="Arial" w:eastAsia="仿宋_GB2312" w:cs="Arial"/>
          <w:color w:val="000000"/>
          <w:kern w:val="0"/>
          <w:sz w:val="32"/>
          <w:szCs w:val="32"/>
          <w:lang w:val="en-US" w:eastAsia="zh-CN"/>
        </w:rPr>
        <w:t>经营者</w:t>
      </w:r>
      <w:r>
        <w:rPr>
          <w:rFonts w:hint="eastAsia" w:ascii="仿宋_GB2312" w:hAnsi="Arial" w:eastAsia="仿宋_GB2312" w:cs="Arial"/>
          <w:color w:val="000000"/>
          <w:kern w:val="0"/>
          <w:sz w:val="32"/>
          <w:szCs w:val="32"/>
        </w:rPr>
        <w:t>食品安全</w:t>
      </w:r>
      <w:r>
        <w:rPr>
          <w:rFonts w:ascii="仿宋_GB2312" w:hAnsi="Arial" w:eastAsia="仿宋_GB2312" w:cs="Arial"/>
          <w:color w:val="000000"/>
          <w:kern w:val="0"/>
          <w:sz w:val="32"/>
          <w:szCs w:val="32"/>
        </w:rPr>
        <w:t>静态因素</w:t>
      </w:r>
      <w:r>
        <w:rPr>
          <w:rFonts w:hint="eastAsia" w:ascii="仿宋_GB2312" w:hAnsi="Arial" w:eastAsia="仿宋_GB2312" w:cs="Arial"/>
          <w:color w:val="000000"/>
          <w:kern w:val="0"/>
          <w:sz w:val="32"/>
          <w:szCs w:val="32"/>
          <w:lang w:eastAsia="zh-CN"/>
        </w:rPr>
        <w:t>、</w:t>
      </w:r>
      <w:r>
        <w:rPr>
          <w:rFonts w:ascii="仿宋_GB2312" w:hAnsi="Arial" w:eastAsia="仿宋_GB2312" w:cs="Arial"/>
          <w:color w:val="000000"/>
          <w:kern w:val="0"/>
          <w:sz w:val="32"/>
          <w:szCs w:val="32"/>
        </w:rPr>
        <w:t>动态因素</w:t>
      </w:r>
      <w:r>
        <w:rPr>
          <w:rFonts w:hint="eastAsia" w:ascii="仿宋_GB2312" w:hAnsi="Arial" w:eastAsia="仿宋_GB2312" w:cs="Arial"/>
          <w:color w:val="000000"/>
          <w:kern w:val="0"/>
          <w:sz w:val="32"/>
          <w:szCs w:val="32"/>
          <w:lang w:eastAsia="zh-CN"/>
        </w:rPr>
        <w:t>与</w:t>
      </w:r>
      <w:r>
        <w:rPr>
          <w:rFonts w:hint="eastAsia" w:ascii="仿宋_GB2312" w:hAnsi="Arial" w:eastAsia="仿宋_GB2312" w:cs="Arial"/>
          <w:color w:val="000000"/>
          <w:kern w:val="0"/>
          <w:sz w:val="32"/>
          <w:szCs w:val="32"/>
        </w:rPr>
        <w:t>通用信用风险</w:t>
      </w:r>
      <w:r>
        <w:rPr>
          <w:rFonts w:hint="eastAsia" w:ascii="仿宋_GB2312" w:hAnsi="Arial" w:eastAsia="仿宋_GB2312" w:cs="Arial"/>
          <w:color w:val="000000"/>
          <w:kern w:val="0"/>
          <w:sz w:val="32"/>
          <w:szCs w:val="32"/>
          <w:lang w:eastAsia="zh-CN"/>
        </w:rPr>
        <w:t>因素</w:t>
      </w:r>
      <w:r>
        <w:rPr>
          <w:rFonts w:ascii="仿宋_GB2312" w:hAnsi="Arial" w:eastAsia="仿宋_GB2312" w:cs="Arial"/>
          <w:color w:val="000000"/>
          <w:kern w:val="0"/>
          <w:sz w:val="32"/>
          <w:szCs w:val="32"/>
        </w:rPr>
        <w:t>，</w:t>
      </w:r>
      <w:r>
        <w:rPr>
          <w:rFonts w:hint="eastAsia" w:ascii="仿宋_GB2312" w:hAnsi="Arial" w:eastAsia="仿宋_GB2312" w:cs="Arial"/>
          <w:color w:val="000000"/>
          <w:kern w:val="0"/>
          <w:sz w:val="32"/>
          <w:szCs w:val="32"/>
          <w:lang w:val="en-US" w:eastAsia="zh-CN"/>
        </w:rPr>
        <w:t>并根据监督检查、监督抽检、投诉举报、案件查处、食品安全事故情况等监督管理记录，实行动态调整。</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Arial" w:eastAsia="仿宋_GB2312" w:cs="Arial"/>
          <w:color w:val="000000"/>
          <w:kern w:val="0"/>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三是确定食品安全信用风险等级评定规则。</w:t>
      </w:r>
      <w:r>
        <w:rPr>
          <w:rFonts w:hint="eastAsia" w:ascii="仿宋_GB2312" w:hAnsi="Arial" w:eastAsia="仿宋_GB2312" w:cs="Arial"/>
          <w:color w:val="000000"/>
          <w:kern w:val="0"/>
          <w:sz w:val="32"/>
          <w:szCs w:val="32"/>
          <w:lang w:val="en-US" w:eastAsia="zh-CN" w:bidi="ar-SA"/>
        </w:rPr>
        <w:t>食品安全信用风险等级采用评分方法进行，以百分制计算。其中，静态因素量化分值为40分，动态因素量化分值为40分，通用信用风险量化分值为20分。量化分值越高，食品生产经营者信用风险越高。根据量化分值评分从低到高，将食品生产经营主体划分为A、B、C、D四个食品安全信用风险等级。</w:t>
      </w:r>
      <w:r>
        <w:rPr>
          <w:rFonts w:hint="eastAsia" w:ascii="仿宋_GB2312" w:hAnsi="Arial" w:eastAsia="仿宋_GB2312" w:cs="Arial"/>
          <w:color w:val="000000"/>
          <w:kern w:val="0"/>
          <w:sz w:val="32"/>
          <w:szCs w:val="32"/>
          <w:lang w:val="en-US" w:eastAsia="zh-CN" w:bidi="ar-SA"/>
        </w:rPr>
        <w:br w:type="textWrapping"/>
      </w:r>
      <w:r>
        <w:rPr>
          <w:rFonts w:hint="eastAsia" w:ascii="楷体_GB2312" w:hAnsi="楷体_GB2312" w:eastAsia="楷体_GB2312" w:cs="楷体_GB2312"/>
          <w:b/>
          <w:bCs/>
          <w:sz w:val="32"/>
          <w:szCs w:val="32"/>
          <w:highlight w:val="none"/>
          <w:lang w:val="en-US" w:eastAsia="zh-CN"/>
        </w:rPr>
        <w:t xml:space="preserve">    四是建立动态触发等级调整制度。</w:t>
      </w:r>
      <w:r>
        <w:rPr>
          <w:rFonts w:hint="eastAsia" w:ascii="仿宋_GB2312" w:hAnsi="Arial" w:eastAsia="仿宋_GB2312" w:cs="Arial"/>
          <w:color w:val="000000"/>
          <w:kern w:val="0"/>
          <w:sz w:val="32"/>
          <w:szCs w:val="32"/>
          <w:highlight w:val="none"/>
          <w:lang w:val="en-US" w:eastAsia="zh-CN"/>
        </w:rPr>
        <w:t>系统梳理可能产生重大食品安全风险的关键影响因素，建立触发食品生产经营者食品安全信用风险等级调整的具体规则，一旦触发预警机制，实施等级动态调整，以更科学精准为食品生产经营者进行风险“画像”。</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Times New Roman" w:hAnsi="Times New Roman" w:eastAsia="仿宋_GB2312" w:cs="Times New Roman"/>
          <w:sz w:val="32"/>
          <w:szCs w:val="32"/>
          <w:highlight w:val="none"/>
          <w:lang w:val="en-US" w:eastAsia="zh-CN"/>
        </w:rPr>
      </w:pPr>
      <w:r>
        <w:rPr>
          <w:rFonts w:hint="eastAsia" w:ascii="楷体_GB2312" w:hAnsi="楷体_GB2312" w:eastAsia="楷体_GB2312" w:cs="楷体_GB2312"/>
          <w:b/>
          <w:bCs/>
          <w:sz w:val="32"/>
          <w:szCs w:val="32"/>
          <w:highlight w:val="none"/>
          <w:lang w:val="en-US" w:eastAsia="zh-CN"/>
        </w:rPr>
        <w:t>五是发挥信用联合奖惩作用。</w:t>
      </w:r>
      <w:r>
        <w:rPr>
          <w:rFonts w:hint="eastAsia" w:ascii="仿宋_GB2312" w:hAnsi="Arial" w:eastAsia="仿宋_GB2312" w:cs="Arial"/>
          <w:color w:val="000000"/>
          <w:kern w:val="0"/>
          <w:sz w:val="32"/>
          <w:szCs w:val="32"/>
          <w:highlight w:val="none"/>
          <w:lang w:val="en-US" w:eastAsia="zh-CN"/>
        </w:rPr>
        <w:t>依托食品生产经营者食品安全信用风险分级结果，对信用优秀典型，推行信用激励制度，在公共服务领域等给予支持，针对性降低监督抽检频次等；对食品安全信用风险等级高的，实施从严监管措施，进一步提升食品生产经营者守法诚信意识</w:t>
      </w:r>
      <w:r>
        <w:rPr>
          <w:rFonts w:hint="eastAsia" w:ascii="Times New Roman" w:hAnsi="Times New Roman" w:eastAsia="仿宋_GB2312" w:cs="Times New Roman"/>
          <w:sz w:val="32"/>
          <w:szCs w:val="32"/>
          <w:highlight w:val="none"/>
          <w:lang w:val="en-US" w:eastAsia="zh-CN"/>
        </w:rPr>
        <w:t>。</w:t>
      </w:r>
    </w:p>
    <w:p>
      <w:pPr>
        <w:pStyle w:val="10"/>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default" w:ascii="Times New Roman" w:hAnsi="Times New Roman" w:eastAsia="仿宋_GB2312" w:cs="Times New Roman"/>
          <w:sz w:val="32"/>
          <w:szCs w:val="32"/>
          <w:highlight w:val="none"/>
          <w:lang w:val="en-US" w:eastAsia="zh-CN"/>
        </w:rPr>
      </w:pPr>
      <w:r>
        <w:rPr>
          <w:rFonts w:hint="eastAsia" w:ascii="楷体_GB2312" w:hAnsi="楷体_GB2312" w:eastAsia="楷体_GB2312" w:cs="楷体_GB2312"/>
          <w:b/>
          <w:bCs/>
          <w:kern w:val="2"/>
          <w:sz w:val="32"/>
          <w:szCs w:val="32"/>
          <w:highlight w:val="none"/>
          <w:lang w:val="en-US" w:eastAsia="zh-CN" w:bidi="ar-SA"/>
        </w:rPr>
        <w:t>六是衔接相关制度与要求。</w:t>
      </w:r>
      <w:r>
        <w:rPr>
          <w:rFonts w:hint="eastAsia" w:ascii="Times New Roman" w:hAnsi="Times New Roman" w:eastAsia="仿宋_GB2312" w:cs="Times New Roman"/>
          <w:sz w:val="32"/>
          <w:szCs w:val="32"/>
          <w:highlight w:val="none"/>
          <w:lang w:val="en-US" w:eastAsia="zh-CN"/>
        </w:rPr>
        <w:t>根据《企业落实食品安全主体责任监督管理规定》（国家市场监管总局令第60号）《食品经营许可和备案管理办法》（国家市场监管总局令第78号）《食用农产品市场销售质量安全监督管理办法》（国家市场监管总局令第81号）《</w:t>
      </w:r>
      <w:r>
        <w:rPr>
          <w:rFonts w:hint="default" w:ascii="Times New Roman" w:hAnsi="Times New Roman" w:eastAsia="仿宋_GB2312" w:cs="Times New Roman"/>
          <w:sz w:val="32"/>
          <w:szCs w:val="32"/>
          <w:highlight w:val="none"/>
          <w:lang w:val="en-US" w:eastAsia="zh-CN"/>
        </w:rPr>
        <w:t>福建省食品安全信息追溯管理办法》</w:t>
      </w:r>
      <w:r>
        <w:rPr>
          <w:rFonts w:hint="eastAsia" w:ascii="Times New Roman" w:hAnsi="Times New Roman" w:eastAsia="仿宋_GB2312" w:cs="Times New Roman"/>
          <w:sz w:val="32"/>
          <w:szCs w:val="32"/>
          <w:highlight w:val="none"/>
          <w:lang w:val="en-US" w:eastAsia="zh-CN"/>
        </w:rPr>
        <w:t>（福建省人民政府令第238号）和《市场监管总局办公厅关于进一步加强食品销售风险分级管理工作的指导意见》（市监食经发〔2024〕22 号）等规定，修订了相应条款和风险因素量化分值表（日常监督检查要点表）。</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posOffset>2433320</wp:posOffset>
              </wp:positionH>
              <wp:positionV relativeFrom="paragraph">
                <wp:posOffset>-10795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sz w:val="28"/>
                              <w:szCs w:val="28"/>
                              <w:lang w:eastAsia="zh-CN"/>
                            </w:rPr>
                          </w:pPr>
                          <w:r>
                            <w:rPr>
                              <w:rFonts w:hint="eastAsia"/>
                              <w:sz w:val="28"/>
                              <w:szCs w:val="28"/>
                              <w:lang w:eastAsia="zh-CN"/>
                            </w:rPr>
                            <w:t>—</w:t>
                          </w:r>
                          <w:r>
                            <w:rPr>
                              <w:rFonts w:hint="eastAsia"/>
                              <w:sz w:val="28"/>
                              <w:szCs w:val="28"/>
                              <w:lang w:val="en-US"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val="en-US" w:eastAsia="zh-CN"/>
                            </w:rPr>
                            <w:t xml:space="preserve"> </w:t>
                          </w:r>
                          <w:r>
                            <w:rPr>
                              <w:rFonts w:hint="eastAsia"/>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91.6pt;margin-top:-0.85pt;height:144pt;width:144pt;mso-position-horizontal-relative:margin;mso-wrap-style:none;z-index:251658240;mso-width-relative:page;mso-height-relative:page;" filled="f" stroked="f" coordsize="21600,21600" o:gfxdata="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">
              <v:fill on="f" focussize="0,0"/>
              <v:stroke on="f" weight="0.5pt"/>
              <v:imagedata o:title=""/>
              <o:lock v:ext="edit" aspectratio="f"/>
              <v:textbox inset="0mm,0mm,0mm,0mm" style="mso-fit-shape-to-text:t;">
                <w:txbxContent>
                  <w:p>
                    <w:pPr>
                      <w:pStyle w:val="4"/>
                      <w:rPr>
                        <w:rFonts w:hint="eastAsia" w:eastAsia="宋体"/>
                        <w:sz w:val="28"/>
                        <w:szCs w:val="28"/>
                        <w:lang w:eastAsia="zh-CN"/>
                      </w:rPr>
                    </w:pPr>
                    <w:r>
                      <w:rPr>
                        <w:rFonts w:hint="eastAsia"/>
                        <w:sz w:val="28"/>
                        <w:szCs w:val="28"/>
                        <w:lang w:eastAsia="zh-CN"/>
                      </w:rPr>
                      <w:t>—</w:t>
                    </w:r>
                    <w:r>
                      <w:rPr>
                        <w:rFonts w:hint="eastAsia"/>
                        <w:sz w:val="28"/>
                        <w:szCs w:val="28"/>
                        <w:lang w:val="en-US"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val="en-US" w:eastAsia="zh-CN"/>
                      </w:rPr>
                      <w:t xml:space="preserve"> </w:t>
                    </w:r>
                    <w:r>
                      <w:rPr>
                        <w:rFonts w:hint="eastAsia"/>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1F7E0D"/>
    <w:rsid w:val="0420694F"/>
    <w:rsid w:val="044B2EB4"/>
    <w:rsid w:val="07455C53"/>
    <w:rsid w:val="0CA74752"/>
    <w:rsid w:val="0D1A65A6"/>
    <w:rsid w:val="117E14D5"/>
    <w:rsid w:val="150206E5"/>
    <w:rsid w:val="16B82EE0"/>
    <w:rsid w:val="1D0911F0"/>
    <w:rsid w:val="2BFC16FA"/>
    <w:rsid w:val="2C712A80"/>
    <w:rsid w:val="3A1E76CB"/>
    <w:rsid w:val="3E1F7E0D"/>
    <w:rsid w:val="431872A6"/>
    <w:rsid w:val="617065A0"/>
    <w:rsid w:val="65244A89"/>
    <w:rsid w:val="6ADE0AE6"/>
    <w:rsid w:val="719C61B3"/>
    <w:rsid w:val="780D6E6A"/>
    <w:rsid w:val="7BDA7AAA"/>
    <w:rsid w:val="7F895F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9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3"/>
    <w:qFormat/>
    <w:uiPriority w:val="0"/>
    <w:pPr>
      <w:spacing w:before="0" w:after="140" w:line="276" w:lineRule="auto"/>
    </w:pPr>
  </w:style>
  <w:style w:type="paragraph" w:styleId="3">
    <w:name w:val="toc 2"/>
    <w:next w:val="1"/>
    <w:semiHidden/>
    <w:qFormat/>
    <w:uiPriority w:val="99"/>
    <w:pPr>
      <w:widowControl/>
      <w:spacing w:after="100" w:line="276" w:lineRule="auto"/>
      <w:ind w:left="220"/>
      <w:jc w:val="left"/>
    </w:pPr>
    <w:rPr>
      <w:rFonts w:ascii="Calibri" w:hAnsi="Calibri" w:eastAsia="宋体" w:cs="Times New Roman"/>
      <w:kern w:val="0"/>
      <w:sz w:val="22"/>
      <w:szCs w:val="24"/>
      <w:lang w:val="en-US" w:eastAsia="zh-CN" w:bidi="ar-SA"/>
    </w:r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99"/>
    <w:pPr>
      <w:spacing w:before="100" w:beforeAutospacing="1" w:after="100" w:afterAutospacing="1"/>
      <w:jc w:val="left"/>
    </w:pPr>
    <w:rPr>
      <w:kern w:val="0"/>
      <w:sz w:val="24"/>
    </w:rPr>
  </w:style>
  <w:style w:type="character" w:styleId="8">
    <w:name w:val="Emphasis"/>
    <w:basedOn w:val="7"/>
    <w:qFormat/>
    <w:uiPriority w:val="0"/>
    <w:rPr>
      <w:i/>
    </w:rPr>
  </w:style>
  <w:style w:type="paragraph" w:customStyle="1" w:styleId="10">
    <w:name w:val="正文 New New"/>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2024-10-17T03:05:00Z</dcterms:created>
  <dc:creator>Administrator</dc:creator>
  <cp:lastModifiedBy>Administrator</cp:lastModifiedBy>
  <cp:lastPrinted>2024-10-18T02:26:00Z</cp:lastPrinted>
  <dcterms:modified xsi:type="dcterms:W3CDTF">2024-10-18T06:58:47Z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