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val="0"/>
        <w:snapToGrid w:val="0"/>
        <w:spacing w:before="0" w:after="0" w:line="576" w:lineRule="exact"/>
        <w:ind w:left="0" w:leftChars="0" w:right="0" w:rightChars="0" w:firstLine="0" w:firstLineChars="0"/>
        <w:jc w:val="both"/>
        <w:textAlignment w:val="auto"/>
        <w:outlineLvl w:val="9"/>
        <w:rPr>
          <w:rFonts w:hint="eastAsia" w:ascii="仿宋_GB2312" w:hAnsi="仿宋_GB2312" w:eastAsia="仿宋_GB2312" w:cs="仿宋_GB2312"/>
          <w:b w:val="0"/>
          <w:bCs w:val="0"/>
          <w:snapToGrid w:val="0"/>
          <w:color w:val="auto"/>
          <w:spacing w:val="0"/>
          <w:kern w:val="0"/>
          <w:sz w:val="32"/>
          <w:szCs w:val="32"/>
          <w:highlight w:val="none"/>
          <w:lang w:val="en-US" w:eastAsia="zh-CN" w:bidi="ar-SA"/>
        </w:rPr>
      </w:pP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jc w:val="center"/>
        <w:textAlignment w:val="auto"/>
        <w:outlineLvl w:val="0"/>
        <w:rPr>
          <w:rFonts w:hint="eastAsia" w:ascii="方正小标宋简体" w:hAnsi="方正小标宋简体" w:eastAsia="方正小标宋简体" w:cs="方正小标宋简体"/>
          <w:snapToGrid w:val="0"/>
          <w:color w:val="auto"/>
          <w:spacing w:val="0"/>
          <w:kern w:val="0"/>
          <w:sz w:val="44"/>
          <w:szCs w:val="44"/>
          <w:highlight w:val="none"/>
          <w:lang w:eastAsia="zh-CN"/>
        </w:rPr>
      </w:pPr>
      <w:r>
        <w:rPr>
          <w:rFonts w:hint="eastAsia" w:ascii="方正小标宋简体" w:hAnsi="方正小标宋简体" w:eastAsia="方正小标宋简体" w:cs="方正小标宋简体"/>
          <w:b w:val="0"/>
          <w:bCs w:val="0"/>
          <w:snapToGrid w:val="0"/>
          <w:color w:val="auto"/>
          <w:spacing w:val="0"/>
          <w:kern w:val="0"/>
          <w:sz w:val="44"/>
          <w:szCs w:val="44"/>
          <w:highlight w:val="none"/>
          <w:lang w:eastAsia="zh-CN"/>
        </w:rPr>
        <w:t>福建省食品安全</w:t>
      </w:r>
      <w:r>
        <w:rPr>
          <w:rFonts w:hint="eastAsia" w:ascii="方正小标宋简体" w:hAnsi="方正小标宋简体" w:eastAsia="方正小标宋简体" w:cs="方正小标宋简体"/>
          <w:b w:val="0"/>
          <w:bCs w:val="0"/>
          <w:snapToGrid w:val="0"/>
          <w:color w:val="auto"/>
          <w:spacing w:val="0"/>
          <w:kern w:val="0"/>
          <w:sz w:val="44"/>
          <w:szCs w:val="44"/>
          <w:highlight w:val="none"/>
          <w:lang w:val="en-US" w:eastAsia="zh-CN"/>
        </w:rPr>
        <w:t>信用</w:t>
      </w:r>
      <w:r>
        <w:rPr>
          <w:rFonts w:hint="eastAsia" w:ascii="方正小标宋简体" w:hAnsi="方正小标宋简体" w:eastAsia="方正小标宋简体" w:cs="方正小标宋简体"/>
          <w:b w:val="0"/>
          <w:bCs w:val="0"/>
          <w:snapToGrid w:val="0"/>
          <w:color w:val="auto"/>
          <w:spacing w:val="0"/>
          <w:kern w:val="0"/>
          <w:sz w:val="44"/>
          <w:szCs w:val="44"/>
          <w:highlight w:val="none"/>
          <w:lang w:eastAsia="zh-CN"/>
        </w:rPr>
        <w:t>风险分级管理工作规范</w:t>
      </w:r>
      <w:r>
        <w:rPr>
          <w:rFonts w:hint="eastAsia" w:ascii="方正小标宋简体" w:hAnsi="方正小标宋简体" w:eastAsia="方正小标宋简体" w:cs="方正小标宋简体"/>
          <w:snapToGrid w:val="0"/>
          <w:color w:val="auto"/>
          <w:spacing w:val="0"/>
          <w:kern w:val="0"/>
          <w:sz w:val="44"/>
          <w:szCs w:val="44"/>
          <w:highlight w:val="none"/>
          <w:lang w:eastAsia="zh-CN"/>
        </w:rPr>
        <w:t>（</w:t>
      </w:r>
      <w:r>
        <w:rPr>
          <w:rFonts w:hint="eastAsia" w:ascii="方正小标宋简体" w:hAnsi="方正小标宋简体" w:eastAsia="方正小标宋简体" w:cs="方正小标宋简体"/>
          <w:snapToGrid w:val="0"/>
          <w:color w:val="auto"/>
          <w:spacing w:val="0"/>
          <w:kern w:val="0"/>
          <w:sz w:val="44"/>
          <w:szCs w:val="44"/>
          <w:highlight w:val="none"/>
          <w:lang w:val="en-US" w:eastAsia="zh-CN"/>
        </w:rPr>
        <w:t>征求意见稿</w:t>
      </w:r>
      <w:r>
        <w:rPr>
          <w:rFonts w:hint="eastAsia" w:ascii="方正小标宋简体" w:hAnsi="方正小标宋简体" w:eastAsia="方正小标宋简体" w:cs="方正小标宋简体"/>
          <w:snapToGrid w:val="0"/>
          <w:color w:val="auto"/>
          <w:spacing w:val="0"/>
          <w:kern w:val="0"/>
          <w:sz w:val="44"/>
          <w:szCs w:val="44"/>
          <w:highlight w:val="none"/>
          <w:lang w:eastAsia="zh-CN"/>
        </w:rPr>
        <w:t>）</w:t>
      </w:r>
    </w:p>
    <w:p>
      <w:pPr>
        <w:keepNext w:val="0"/>
        <w:keepLines w:val="0"/>
        <w:pageBreakBefore w:val="0"/>
        <w:widowControl w:val="0"/>
        <w:shd w:val="clear" w:color="auto" w:fill="auto"/>
        <w:kinsoku/>
        <w:wordWrap/>
        <w:overflowPunct w:val="0"/>
        <w:topLinePunct w:val="0"/>
        <w:autoSpaceDE/>
        <w:autoSpaceDN/>
        <w:bidi w:val="0"/>
        <w:adjustRightInd w:val="0"/>
        <w:snapToGrid w:val="0"/>
        <w:spacing w:line="576" w:lineRule="exact"/>
        <w:jc w:val="both"/>
        <w:textAlignment w:val="auto"/>
        <w:outlineLvl w:val="9"/>
        <w:rPr>
          <w:rFonts w:hint="eastAsia" w:ascii="仿宋_GB2312" w:hAnsi="仿宋_GB2312" w:eastAsia="仿宋_GB2312" w:cs="仿宋_GB2312"/>
          <w:bCs/>
          <w:snapToGrid w:val="0"/>
          <w:color w:val="auto"/>
          <w:spacing w:val="0"/>
          <w:kern w:val="0"/>
          <w:sz w:val="32"/>
          <w:szCs w:val="32"/>
          <w:highlight w:val="none"/>
        </w:rPr>
      </w:pPr>
    </w:p>
    <w:p>
      <w:pPr>
        <w:keepNext w:val="0"/>
        <w:keepLines w:val="0"/>
        <w:pageBreakBefore w:val="0"/>
        <w:widowControl w:val="0"/>
        <w:tabs>
          <w:tab w:val="left" w:pos="790"/>
          <w:tab w:val="left" w:pos="1264"/>
        </w:tabs>
        <w:kinsoku/>
        <w:wordWrap/>
        <w:overflowPunct w:val="0"/>
        <w:topLinePunct w:val="0"/>
        <w:autoSpaceDE/>
        <w:autoSpaceDN/>
        <w:bidi w:val="0"/>
        <w:adjustRightInd w:val="0"/>
        <w:snapToGrid w:val="0"/>
        <w:spacing w:line="576" w:lineRule="exact"/>
        <w:jc w:val="center"/>
        <w:textAlignment w:val="auto"/>
        <w:outlineLvl w:val="0"/>
        <w:rPr>
          <w:rFonts w:hint="eastAsia" w:ascii="黑体" w:hAnsi="黑体" w:eastAsia="黑体" w:cs="黑体"/>
          <w:snapToGrid w:val="0"/>
          <w:color w:val="auto"/>
          <w:spacing w:val="0"/>
          <w:kern w:val="0"/>
          <w:sz w:val="32"/>
          <w:szCs w:val="32"/>
          <w:highlight w:val="none"/>
        </w:rPr>
      </w:pPr>
      <w:r>
        <w:rPr>
          <w:rFonts w:hint="eastAsia" w:ascii="黑体" w:hAnsi="黑体" w:eastAsia="黑体" w:cs="黑体"/>
          <w:snapToGrid w:val="0"/>
          <w:color w:val="auto"/>
          <w:spacing w:val="0"/>
          <w:kern w:val="0"/>
          <w:sz w:val="32"/>
          <w:szCs w:val="32"/>
          <w:highlight w:val="none"/>
        </w:rPr>
        <w:t>第一章　总　则</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第一条</w:t>
      </w:r>
      <w:r>
        <w:rPr>
          <w:rFonts w:hint="eastAsia" w:ascii="仿宋_GB2312" w:hAnsi="仿宋_GB2312" w:eastAsia="仿宋_GB2312" w:cs="仿宋_GB2312"/>
          <w:snapToGrid w:val="0"/>
          <w:color w:val="auto"/>
          <w:spacing w:val="0"/>
          <w:kern w:val="0"/>
          <w:sz w:val="32"/>
          <w:szCs w:val="32"/>
          <w:highlight w:val="none"/>
          <w:lang w:val="en-US" w:eastAsia="zh-CN" w:bidi="ar-SA"/>
        </w:rPr>
        <w:t>　为提升食品安全风险防控能力，优化监管资源配置，推进精准有效、公平公正、文明有序监管，营造良好营商环境，根据《中华人民共和国食品安全法》《中华人民共和国食品安全法实施条例》《福建省食品安全条例》《食品生产经营监督检查管理办法》有关法律、法规、规章</w:t>
      </w:r>
      <w:r>
        <w:rPr>
          <w:rFonts w:hint="eastAsia" w:ascii="仿宋_GB2312" w:hAnsi="仿宋_GB2312" w:eastAsia="仿宋_GB2312" w:cs="仿宋_GB2312"/>
          <w:strike w:val="0"/>
          <w:dstrike w:val="0"/>
          <w:snapToGrid w:val="0"/>
          <w:color w:val="auto"/>
          <w:spacing w:val="0"/>
          <w:kern w:val="0"/>
          <w:sz w:val="32"/>
          <w:szCs w:val="32"/>
          <w:highlight w:val="none"/>
          <w:lang w:val="en-US" w:eastAsia="zh-CN" w:bidi="ar-SA"/>
        </w:rPr>
        <w:t>等</w:t>
      </w:r>
      <w:r>
        <w:rPr>
          <w:rFonts w:hint="eastAsia" w:ascii="仿宋_GB2312" w:hAnsi="仿宋_GB2312" w:eastAsia="仿宋_GB2312" w:cs="仿宋_GB2312"/>
          <w:snapToGrid w:val="0"/>
          <w:color w:val="auto"/>
          <w:spacing w:val="0"/>
          <w:kern w:val="0"/>
          <w:sz w:val="32"/>
          <w:szCs w:val="32"/>
          <w:highlight w:val="none"/>
          <w:lang w:val="en-US" w:eastAsia="zh-CN" w:bidi="ar-SA"/>
        </w:rPr>
        <w:t>规定，结合我省实际，制定本规范。</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第二条</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  本规范所称食品安全信用风险分级管理，是指市场监督管理部门以食品生产经营者食品安全风险信息和信用状况</w:t>
      </w:r>
      <w:r>
        <w:rPr>
          <w:rFonts w:hint="eastAsia" w:ascii="仿宋_GB2312" w:hAnsi="仿宋_GB2312" w:eastAsia="仿宋_GB2312" w:cs="仿宋_GB2312"/>
          <w:strike w:val="0"/>
          <w:dstrike w:val="0"/>
          <w:snapToGrid w:val="0"/>
          <w:color w:val="auto"/>
          <w:spacing w:val="0"/>
          <w:kern w:val="0"/>
          <w:sz w:val="32"/>
          <w:szCs w:val="32"/>
          <w:highlight w:val="none"/>
          <w:lang w:val="en-US" w:eastAsia="zh-CN" w:bidi="ar-SA"/>
        </w:rPr>
        <w:t>为基础</w:t>
      </w:r>
      <w:r>
        <w:rPr>
          <w:rFonts w:hint="eastAsia" w:ascii="仿宋_GB2312" w:hAnsi="仿宋_GB2312" w:eastAsia="仿宋_GB2312" w:cs="仿宋_GB2312"/>
          <w:snapToGrid w:val="0"/>
          <w:color w:val="auto"/>
          <w:spacing w:val="0"/>
          <w:kern w:val="0"/>
          <w:sz w:val="32"/>
          <w:szCs w:val="32"/>
          <w:highlight w:val="none"/>
          <w:lang w:val="en-US" w:eastAsia="zh-CN" w:bidi="ar-SA"/>
        </w:rPr>
        <w:t>，综合食品生产经营者的主体业态、</w:t>
      </w:r>
      <w:r>
        <w:rPr>
          <w:rFonts w:hint="eastAsia" w:ascii="仿宋_GB2312" w:hAnsi="仿宋_GB2312" w:eastAsia="仿宋_GB2312" w:cs="仿宋_GB2312"/>
          <w:snapToGrid w:val="0"/>
          <w:color w:val="auto"/>
          <w:spacing w:val="0"/>
          <w:kern w:val="0"/>
          <w:sz w:val="32"/>
          <w:szCs w:val="32"/>
          <w:highlight w:val="none"/>
          <w:u w:val="none"/>
          <w:lang w:val="en-US" w:eastAsia="zh-CN" w:bidi="ar-SA"/>
        </w:rPr>
        <w:t>类别品种、</w:t>
      </w:r>
      <w:r>
        <w:rPr>
          <w:rFonts w:hint="eastAsia" w:ascii="仿宋_GB2312" w:hAnsi="仿宋_GB2312" w:eastAsia="仿宋_GB2312" w:cs="仿宋_GB2312"/>
          <w:snapToGrid w:val="0"/>
          <w:color w:val="auto"/>
          <w:spacing w:val="0"/>
          <w:kern w:val="0"/>
          <w:sz w:val="32"/>
          <w:szCs w:val="32"/>
          <w:highlight w:val="none"/>
          <w:lang w:val="en-US" w:eastAsia="zh-CN" w:bidi="ar-SA"/>
        </w:rPr>
        <w:t>生产经营规模、安全管理能力、监督管理记录及通用信用风险信息，对食品生产经营者实行食品安全信用风险分级管理，推动高效识别、分级管控、精准处置食品安全风险。</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第三条</w:t>
      </w:r>
      <w:r>
        <w:rPr>
          <w:rFonts w:hint="eastAsia" w:ascii="仿宋_GB2312" w:hAnsi="仿宋_GB2312" w:eastAsia="仿宋_GB2312" w:cs="仿宋_GB2312"/>
          <w:snapToGrid w:val="0"/>
          <w:color w:val="auto"/>
          <w:spacing w:val="0"/>
          <w:kern w:val="0"/>
          <w:sz w:val="32"/>
          <w:szCs w:val="32"/>
          <w:highlight w:val="none"/>
          <w:lang w:val="en-US" w:eastAsia="zh-CN" w:bidi="ar-SA"/>
        </w:rPr>
        <w:t>　</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t>本规范实施</w:t>
      </w:r>
      <w:r>
        <w:rPr>
          <w:rFonts w:hint="eastAsia" w:ascii="仿宋_GB2312" w:hAnsi="仿宋_GB2312" w:eastAsia="仿宋_GB2312" w:cs="仿宋_GB2312"/>
          <w:snapToGrid w:val="0"/>
          <w:color w:val="auto"/>
          <w:spacing w:val="0"/>
          <w:kern w:val="0"/>
          <w:sz w:val="32"/>
          <w:szCs w:val="32"/>
          <w:highlight w:val="none"/>
          <w:lang w:val="en-US" w:eastAsia="zh-CN" w:bidi="ar-SA"/>
        </w:rPr>
        <w:t>范围和对象为福建省行政辖区内的食品生产经营者。</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第四条</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  食品安全信用风险分级管理工作应当遵循风险分析、量化评价、动态管理、公平公正的原则。</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第五条</w:t>
      </w:r>
      <w:r>
        <w:rPr>
          <w:rFonts w:hint="eastAsia" w:ascii="仿宋_GB2312" w:hAnsi="仿宋_GB2312" w:eastAsia="仿宋_GB2312" w:cs="仿宋_GB2312"/>
          <w:snapToGrid w:val="0"/>
          <w:color w:val="auto"/>
          <w:spacing w:val="0"/>
          <w:kern w:val="0"/>
          <w:sz w:val="32"/>
          <w:szCs w:val="32"/>
          <w:highlight w:val="none"/>
          <w:lang w:val="en-US" w:eastAsia="zh-CN" w:bidi="ar-SA"/>
        </w:rPr>
        <w:t>　省市场监督管理局负责制定食品安全信用风险分级管理工作规范，制定食品生产经营者信用风险等级（以下简称风险等级）评定规则，建立和维护统一的食品安全信用风险分级信息化管理平台，指导全省各级市场监督管理部门实施食品安全信用风险分级管理工作。</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设区市（含平潭综合实验区，下同）和县级市场监督管理部门依据职责开展本辖区食品安全信用风险分级管理的具体工作。</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第六条</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  食品生产经营者应当配合市场监督管理部门的食品安全信用风险分级管理工作，不得拒绝、逃避或者阻碍。</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p>
    <w:p>
      <w:pPr>
        <w:keepNext w:val="0"/>
        <w:keepLines w:val="0"/>
        <w:pageBreakBefore w:val="0"/>
        <w:widowControl w:val="0"/>
        <w:numPr>
          <w:ilvl w:val="0"/>
          <w:numId w:val="1"/>
        </w:numPr>
        <w:kinsoku/>
        <w:wordWrap/>
        <w:overflowPunct w:val="0"/>
        <w:topLinePunct w:val="0"/>
        <w:autoSpaceDE/>
        <w:autoSpaceDN/>
        <w:bidi w:val="0"/>
        <w:adjustRightInd w:val="0"/>
        <w:snapToGrid w:val="0"/>
        <w:spacing w:line="576" w:lineRule="exact"/>
        <w:ind w:left="0" w:leftChars="0" w:firstLine="0" w:firstLineChars="0"/>
        <w:jc w:val="center"/>
        <w:textAlignment w:val="auto"/>
        <w:outlineLvl w:val="0"/>
        <w:rPr>
          <w:rFonts w:hint="eastAsia" w:ascii="黑体" w:hAnsi="黑体" w:eastAsia="黑体" w:cs="黑体"/>
          <w:bCs/>
          <w:snapToGrid w:val="0"/>
          <w:color w:val="auto"/>
          <w:spacing w:val="0"/>
          <w:kern w:val="0"/>
          <w:sz w:val="32"/>
          <w:szCs w:val="32"/>
          <w:highlight w:val="none"/>
          <w:lang w:val="en-US" w:eastAsia="zh-CN"/>
        </w:rPr>
      </w:pPr>
      <w:r>
        <w:rPr>
          <w:rFonts w:hint="eastAsia" w:ascii="黑体" w:hAnsi="黑体" w:eastAsia="黑体" w:cs="黑体"/>
          <w:bCs/>
          <w:snapToGrid w:val="0"/>
          <w:color w:val="auto"/>
          <w:spacing w:val="0"/>
          <w:kern w:val="0"/>
          <w:sz w:val="32"/>
          <w:szCs w:val="32"/>
          <w:highlight w:val="none"/>
          <w:lang w:val="en-US" w:eastAsia="zh-CN"/>
        </w:rPr>
        <w:t>食品安全信用风险等级</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76" w:lineRule="exact"/>
        <w:ind w:leftChars="0"/>
        <w:jc w:val="both"/>
        <w:textAlignment w:val="auto"/>
        <w:outlineLvl w:val="9"/>
        <w:rPr>
          <w:rFonts w:hint="eastAsia" w:ascii="仿宋_GB2312" w:hAnsi="仿宋_GB2312" w:eastAsia="仿宋_GB2312" w:cs="仿宋_GB2312"/>
          <w:bCs/>
          <w:snapToGrid w:val="0"/>
          <w:color w:val="auto"/>
          <w:spacing w:val="0"/>
          <w:kern w:val="0"/>
          <w:sz w:val="32"/>
          <w:szCs w:val="32"/>
          <w:highlight w:val="none"/>
        </w:rPr>
      </w:pP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000000"/>
          <w:spacing w:val="0"/>
          <w:kern w:val="0"/>
          <w:sz w:val="32"/>
          <w:szCs w:val="32"/>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第七条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t xml:space="preserve">  </w:t>
      </w:r>
      <w:r>
        <w:rPr>
          <w:rFonts w:hint="eastAsia" w:ascii="仿宋_GB2312" w:hAnsi="仿宋_GB2312" w:eastAsia="仿宋_GB2312" w:cs="仿宋_GB2312"/>
          <w:snapToGrid w:val="0"/>
          <w:color w:val="000000"/>
          <w:spacing w:val="0"/>
          <w:kern w:val="0"/>
          <w:sz w:val="32"/>
          <w:szCs w:val="32"/>
          <w:lang w:val="en-US" w:eastAsia="zh-CN" w:bidi="ar-SA"/>
        </w:rPr>
        <w:t>食品生产经营者食品安全信用风险等级，应当结合食品生产经营者食品安全静态因素、动态因素与通用信用风险因素，并根据监督检查、监督抽检、投诉举报、案件查处、食品安全事故情况等监督管理记录，实施动态调整。</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第八条</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  静态因素，包括生产经营的类别品种、规模大小、消费对象等。</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000000"/>
          <w:spacing w:val="0"/>
          <w:kern w:val="0"/>
          <w:sz w:val="32"/>
          <w:szCs w:val="32"/>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第九条</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  </w:t>
      </w:r>
      <w:r>
        <w:rPr>
          <w:rFonts w:hint="eastAsia" w:ascii="仿宋_GB2312" w:hAnsi="仿宋_GB2312" w:eastAsia="仿宋_GB2312" w:cs="仿宋_GB2312"/>
          <w:snapToGrid w:val="0"/>
          <w:color w:val="000000"/>
          <w:spacing w:val="0"/>
          <w:kern w:val="0"/>
          <w:sz w:val="32"/>
          <w:szCs w:val="32"/>
          <w:lang w:val="en-US" w:eastAsia="zh-CN" w:bidi="ar-SA"/>
        </w:rPr>
        <w:t>动态因素，包括食品生产经营者生产经营资质、生产经营条件保持、生产经营过程控制、管理制度运行等情况。</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000000"/>
          <w:spacing w:val="6"/>
          <w:kern w:val="0"/>
          <w:sz w:val="32"/>
          <w:szCs w:val="32"/>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第十条</w:t>
      </w:r>
      <w:r>
        <w:rPr>
          <w:rFonts w:hint="eastAsia" w:ascii="仿宋_GB2312" w:hAnsi="仿宋_GB2312" w:eastAsia="仿宋_GB2312" w:cs="仿宋_GB2312"/>
          <w:snapToGrid w:val="0"/>
          <w:color w:val="000000"/>
          <w:spacing w:val="0"/>
          <w:kern w:val="0"/>
          <w:sz w:val="32"/>
          <w:szCs w:val="32"/>
          <w:lang w:val="en-US" w:eastAsia="zh-CN" w:bidi="ar-SA"/>
        </w:rPr>
        <w:t xml:space="preserve">  通用信用风险因素，包括食品生产经营者基础属性</w:t>
      </w:r>
      <w:r>
        <w:rPr>
          <w:rFonts w:hint="eastAsia" w:ascii="仿宋_GB2312" w:hAnsi="仿宋_GB2312" w:eastAsia="仿宋_GB2312" w:cs="仿宋_GB2312"/>
          <w:snapToGrid w:val="0"/>
          <w:color w:val="000000"/>
          <w:spacing w:val="6"/>
          <w:kern w:val="0"/>
          <w:sz w:val="32"/>
          <w:szCs w:val="32"/>
          <w:lang w:val="en-US" w:eastAsia="zh-CN" w:bidi="ar-SA"/>
        </w:rPr>
        <w:t>信息、动态信息、监管信息、关联关系信息、社会评价信息等情况。</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第十一条</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  </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t>风险等级从低到高划分为A级、B级、C级、D级四个等级。</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pPr>
    </w:p>
    <w:p>
      <w:pPr>
        <w:keepNext w:val="0"/>
        <w:keepLines w:val="0"/>
        <w:pageBreakBefore w:val="0"/>
        <w:widowControl w:val="0"/>
        <w:numPr>
          <w:ilvl w:val="0"/>
          <w:numId w:val="1"/>
        </w:numPr>
        <w:kinsoku/>
        <w:wordWrap/>
        <w:overflowPunct w:val="0"/>
        <w:topLinePunct w:val="0"/>
        <w:autoSpaceDE/>
        <w:autoSpaceDN/>
        <w:bidi w:val="0"/>
        <w:adjustRightInd w:val="0"/>
        <w:snapToGrid w:val="0"/>
        <w:spacing w:line="576" w:lineRule="exact"/>
        <w:ind w:left="0" w:leftChars="0" w:firstLine="0" w:firstLineChars="0"/>
        <w:jc w:val="center"/>
        <w:textAlignment w:val="auto"/>
        <w:outlineLvl w:val="0"/>
        <w:rPr>
          <w:rFonts w:hint="eastAsia" w:ascii="黑体" w:hAnsi="黑体" w:eastAsia="黑体" w:cs="黑体"/>
          <w:bCs/>
          <w:snapToGrid w:val="0"/>
          <w:color w:val="auto"/>
          <w:spacing w:val="0"/>
          <w:kern w:val="0"/>
          <w:sz w:val="32"/>
          <w:szCs w:val="32"/>
          <w:highlight w:val="none"/>
          <w:lang w:val="en-US" w:eastAsia="zh-CN"/>
        </w:rPr>
      </w:pPr>
      <w:r>
        <w:rPr>
          <w:rFonts w:hint="eastAsia" w:ascii="黑体" w:hAnsi="黑体" w:eastAsia="黑体" w:cs="黑体"/>
          <w:bCs/>
          <w:snapToGrid w:val="0"/>
          <w:color w:val="auto"/>
          <w:spacing w:val="0"/>
          <w:kern w:val="0"/>
          <w:sz w:val="32"/>
          <w:szCs w:val="32"/>
          <w:highlight w:val="none"/>
          <w:lang w:val="en-US" w:eastAsia="zh-CN"/>
        </w:rPr>
        <w:t>等级评定</w:t>
      </w:r>
    </w:p>
    <w:p>
      <w:pPr>
        <w:keepNext w:val="0"/>
        <w:keepLines w:val="0"/>
        <w:pageBreakBefore w:val="0"/>
        <w:widowControl w:val="0"/>
        <w:kinsoku/>
        <w:wordWrap/>
        <w:overflowPunct w:val="0"/>
        <w:topLinePunct w:val="0"/>
        <w:autoSpaceDE/>
        <w:autoSpaceDN/>
        <w:bidi w:val="0"/>
        <w:adjustRightInd w:val="0"/>
        <w:snapToGrid w:val="0"/>
        <w:spacing w:line="576" w:lineRule="exact"/>
        <w:jc w:val="both"/>
        <w:textAlignment w:val="auto"/>
        <w:rPr>
          <w:rFonts w:hint="eastAsia" w:ascii="仿宋_GB2312" w:hAnsi="仿宋_GB2312" w:eastAsia="仿宋_GB2312" w:cs="仿宋_GB2312"/>
          <w:snapToGrid w:val="0"/>
          <w:color w:val="auto"/>
          <w:spacing w:val="0"/>
          <w:kern w:val="0"/>
          <w:sz w:val="32"/>
          <w:szCs w:val="32"/>
          <w:highlight w:val="yellow"/>
        </w:rPr>
      </w:pP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pPr>
      <w:r>
        <w:rPr>
          <w:rFonts w:hint="eastAsia" w:ascii="黑体" w:hAnsi="黑体" w:eastAsia="黑体" w:cs="黑体"/>
          <w:snapToGrid w:val="0"/>
          <w:color w:val="auto"/>
          <w:spacing w:val="0"/>
          <w:kern w:val="0"/>
          <w:sz w:val="32"/>
          <w:szCs w:val="32"/>
          <w:highlight w:val="none"/>
        </w:rPr>
        <w:t>第</w:t>
      </w:r>
      <w:r>
        <w:rPr>
          <w:rFonts w:hint="eastAsia" w:ascii="黑体" w:hAnsi="黑体" w:eastAsia="黑体" w:cs="黑体"/>
          <w:snapToGrid w:val="0"/>
          <w:color w:val="auto"/>
          <w:spacing w:val="0"/>
          <w:kern w:val="0"/>
          <w:sz w:val="32"/>
          <w:szCs w:val="32"/>
          <w:highlight w:val="none"/>
          <w:lang w:val="en-US" w:eastAsia="zh-CN"/>
        </w:rPr>
        <w:t>十二</w:t>
      </w:r>
      <w:r>
        <w:rPr>
          <w:rFonts w:hint="eastAsia" w:ascii="黑体" w:hAnsi="黑体" w:eastAsia="黑体" w:cs="黑体"/>
          <w:snapToGrid w:val="0"/>
          <w:color w:val="auto"/>
          <w:spacing w:val="0"/>
          <w:kern w:val="0"/>
          <w:sz w:val="32"/>
          <w:szCs w:val="32"/>
          <w:highlight w:val="none"/>
        </w:rPr>
        <w:t>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 xml:space="preserve">  </w:t>
      </w:r>
      <w:r>
        <w:rPr>
          <w:rFonts w:hint="eastAsia" w:ascii="仿宋_GB2312" w:hAnsi="仿宋_GB2312" w:eastAsia="仿宋_GB2312" w:cs="仿宋_GB2312"/>
          <w:snapToGrid w:val="0"/>
          <w:color w:val="000000"/>
          <w:spacing w:val="0"/>
          <w:kern w:val="0"/>
          <w:sz w:val="32"/>
          <w:szCs w:val="32"/>
          <w:highlight w:val="none"/>
        </w:rPr>
        <w:t>市场监督管理部门</w:t>
      </w:r>
      <w:r>
        <w:rPr>
          <w:rFonts w:hint="eastAsia" w:ascii="仿宋_GB2312" w:hAnsi="仿宋_GB2312" w:eastAsia="仿宋_GB2312" w:cs="仿宋_GB2312"/>
          <w:snapToGrid w:val="0"/>
          <w:color w:val="000000"/>
          <w:spacing w:val="0"/>
          <w:kern w:val="0"/>
          <w:sz w:val="32"/>
          <w:szCs w:val="32"/>
          <w:highlight w:val="none"/>
          <w:lang w:eastAsia="zh-CN"/>
        </w:rPr>
        <w:t>确定食品生产</w:t>
      </w:r>
      <w:r>
        <w:rPr>
          <w:rFonts w:hint="eastAsia" w:ascii="仿宋_GB2312" w:hAnsi="仿宋_GB2312" w:eastAsia="仿宋_GB2312" w:cs="仿宋_GB2312"/>
          <w:snapToGrid w:val="0"/>
          <w:color w:val="000000"/>
          <w:spacing w:val="0"/>
          <w:kern w:val="0"/>
          <w:sz w:val="32"/>
          <w:szCs w:val="32"/>
          <w:highlight w:val="none"/>
          <w:lang w:val="en-US" w:eastAsia="zh-CN"/>
        </w:rPr>
        <w:t>经营者</w:t>
      </w:r>
      <w:r>
        <w:rPr>
          <w:rFonts w:hint="eastAsia" w:ascii="仿宋_GB2312" w:hAnsi="仿宋_GB2312" w:eastAsia="仿宋_GB2312" w:cs="仿宋_GB2312"/>
          <w:snapToGrid w:val="0"/>
          <w:color w:val="000000"/>
          <w:spacing w:val="0"/>
          <w:kern w:val="0"/>
          <w:sz w:val="32"/>
          <w:szCs w:val="32"/>
          <w:highlight w:val="none"/>
          <w:lang w:eastAsia="zh-CN"/>
        </w:rPr>
        <w:t>风险等级，采用评分方法进行，以百分制计算。</w:t>
      </w:r>
      <w:r>
        <w:rPr>
          <w:rFonts w:hint="eastAsia" w:ascii="仿宋_GB2312" w:hAnsi="仿宋_GB2312" w:eastAsia="仿宋_GB2312" w:cs="仿宋_GB2312"/>
          <w:snapToGrid w:val="0"/>
          <w:color w:val="000000"/>
          <w:spacing w:val="0"/>
          <w:kern w:val="0"/>
          <w:sz w:val="32"/>
          <w:szCs w:val="32"/>
          <w:highlight w:val="none"/>
        </w:rPr>
        <w:t>其中，静态因素量化分值为40分，动态因素量化分值为40分，通用信用风险量化分值为20分。</w:t>
      </w:r>
      <w:r>
        <w:rPr>
          <w:rFonts w:hint="eastAsia" w:ascii="仿宋_GB2312" w:hAnsi="仿宋_GB2312" w:eastAsia="仿宋_GB2312" w:cs="仿宋_GB2312"/>
          <w:snapToGrid w:val="0"/>
          <w:color w:val="000000"/>
          <w:spacing w:val="0"/>
          <w:kern w:val="0"/>
          <w:sz w:val="32"/>
          <w:szCs w:val="32"/>
          <w:highlight w:val="none"/>
          <w:lang w:val="en-US" w:eastAsia="zh-CN"/>
        </w:rPr>
        <w:t>量化</w:t>
      </w:r>
      <w:r>
        <w:rPr>
          <w:rFonts w:hint="eastAsia" w:ascii="仿宋_GB2312" w:hAnsi="仿宋_GB2312" w:eastAsia="仿宋_GB2312" w:cs="仿宋_GB2312"/>
          <w:snapToGrid w:val="0"/>
          <w:color w:val="000000"/>
          <w:spacing w:val="0"/>
          <w:kern w:val="0"/>
          <w:sz w:val="32"/>
          <w:szCs w:val="32"/>
          <w:highlight w:val="none"/>
        </w:rPr>
        <w:t>分值越高，食品生产</w:t>
      </w:r>
      <w:r>
        <w:rPr>
          <w:rFonts w:hint="eastAsia" w:ascii="仿宋_GB2312" w:hAnsi="仿宋_GB2312" w:eastAsia="仿宋_GB2312" w:cs="仿宋_GB2312"/>
          <w:snapToGrid w:val="0"/>
          <w:color w:val="000000"/>
          <w:spacing w:val="0"/>
          <w:kern w:val="0"/>
          <w:sz w:val="32"/>
          <w:szCs w:val="32"/>
          <w:highlight w:val="none"/>
          <w:lang w:val="en-US" w:eastAsia="zh-CN"/>
        </w:rPr>
        <w:t>经营者信用</w:t>
      </w:r>
      <w:r>
        <w:rPr>
          <w:rFonts w:hint="eastAsia" w:ascii="仿宋_GB2312" w:hAnsi="仿宋_GB2312" w:eastAsia="仿宋_GB2312" w:cs="仿宋_GB2312"/>
          <w:snapToGrid w:val="0"/>
          <w:color w:val="000000"/>
          <w:spacing w:val="0"/>
          <w:kern w:val="0"/>
          <w:sz w:val="32"/>
          <w:szCs w:val="32"/>
          <w:highlight w:val="none"/>
        </w:rPr>
        <w:t>风险越高。</w:t>
      </w: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spacing w:val="0"/>
          <w:kern w:val="0"/>
          <w:sz w:val="32"/>
          <w:szCs w:val="32"/>
          <w:highlight w:val="none"/>
          <w:lang w:eastAsia="zh-CN"/>
        </w:rPr>
      </w:pPr>
      <w:r>
        <w:rPr>
          <w:rFonts w:hint="eastAsia" w:ascii="仿宋_GB2312" w:hAnsi="仿宋_GB2312" w:eastAsia="仿宋_GB2312" w:cs="仿宋_GB2312"/>
          <w:snapToGrid w:val="0"/>
          <w:color w:val="000000"/>
          <w:spacing w:val="0"/>
          <w:kern w:val="0"/>
          <w:sz w:val="32"/>
          <w:szCs w:val="32"/>
          <w:highlight w:val="none"/>
          <w:lang w:eastAsia="zh-CN"/>
        </w:rPr>
        <w:t>生产两种及以上类别食品</w:t>
      </w:r>
      <w:r>
        <w:rPr>
          <w:rFonts w:hint="eastAsia" w:ascii="仿宋_GB2312" w:hAnsi="仿宋_GB2312" w:eastAsia="仿宋_GB2312" w:cs="仿宋_GB2312"/>
          <w:snapToGrid w:val="0"/>
          <w:color w:val="000000"/>
          <w:spacing w:val="0"/>
          <w:kern w:val="0"/>
          <w:sz w:val="32"/>
          <w:szCs w:val="32"/>
          <w:highlight w:val="none"/>
        </w:rPr>
        <w:t>的</w:t>
      </w:r>
      <w:r>
        <w:rPr>
          <w:rFonts w:hint="eastAsia" w:ascii="仿宋_GB2312" w:hAnsi="仿宋_GB2312" w:eastAsia="仿宋_GB2312" w:cs="仿宋_GB2312"/>
          <w:snapToGrid w:val="0"/>
          <w:color w:val="000000"/>
          <w:spacing w:val="0"/>
          <w:kern w:val="0"/>
          <w:sz w:val="32"/>
          <w:szCs w:val="32"/>
          <w:highlight w:val="none"/>
          <w:lang w:eastAsia="zh-CN"/>
        </w:rPr>
        <w:t>食品生产者</w:t>
      </w:r>
      <w:r>
        <w:rPr>
          <w:rFonts w:hint="eastAsia" w:ascii="仿宋_GB2312" w:hAnsi="仿宋_GB2312" w:eastAsia="仿宋_GB2312" w:cs="仿宋_GB2312"/>
          <w:snapToGrid w:val="0"/>
          <w:color w:val="000000"/>
          <w:spacing w:val="0"/>
          <w:kern w:val="0"/>
          <w:sz w:val="32"/>
          <w:szCs w:val="32"/>
          <w:highlight w:val="none"/>
        </w:rPr>
        <w:t>，</w:t>
      </w:r>
      <w:r>
        <w:rPr>
          <w:rFonts w:hint="eastAsia" w:ascii="仿宋_GB2312" w:hAnsi="仿宋_GB2312" w:eastAsia="仿宋_GB2312" w:cs="仿宋_GB2312"/>
          <w:snapToGrid w:val="0"/>
          <w:color w:val="000000"/>
          <w:spacing w:val="0"/>
          <w:kern w:val="0"/>
          <w:sz w:val="32"/>
          <w:szCs w:val="32"/>
          <w:highlight w:val="none"/>
          <w:lang w:eastAsia="zh-CN"/>
        </w:rPr>
        <w:t>应当按照风险分值高的类别食品确定其风险等级；从事食品生产、食品销售、餐饮服务等两种及以上业态的食品生产经营者，</w:t>
      </w:r>
      <w:r>
        <w:rPr>
          <w:rFonts w:hint="eastAsia" w:ascii="仿宋_GB2312" w:hAnsi="仿宋_GB2312" w:eastAsia="仿宋_GB2312" w:cs="仿宋_GB2312"/>
          <w:snapToGrid w:val="0"/>
          <w:color w:val="000000"/>
          <w:spacing w:val="0"/>
          <w:kern w:val="0"/>
          <w:sz w:val="32"/>
          <w:szCs w:val="32"/>
          <w:highlight w:val="none"/>
        </w:rPr>
        <w:t>应当按照风险分值高的业态确定其风险</w:t>
      </w:r>
      <w:r>
        <w:rPr>
          <w:rFonts w:hint="eastAsia" w:ascii="仿宋_GB2312" w:hAnsi="仿宋_GB2312" w:eastAsia="仿宋_GB2312" w:cs="仿宋_GB2312"/>
          <w:snapToGrid w:val="0"/>
          <w:color w:val="000000"/>
          <w:spacing w:val="0"/>
          <w:kern w:val="0"/>
          <w:sz w:val="32"/>
          <w:szCs w:val="32"/>
          <w:highlight w:val="none"/>
          <w:lang w:eastAsia="zh-CN"/>
        </w:rPr>
        <w:t>等</w:t>
      </w:r>
      <w:r>
        <w:rPr>
          <w:rFonts w:hint="eastAsia" w:ascii="仿宋_GB2312" w:hAnsi="仿宋_GB2312" w:eastAsia="仿宋_GB2312" w:cs="仿宋_GB2312"/>
          <w:snapToGrid w:val="0"/>
          <w:color w:val="000000"/>
          <w:spacing w:val="0"/>
          <w:kern w:val="0"/>
          <w:sz w:val="32"/>
          <w:szCs w:val="32"/>
          <w:highlight w:val="none"/>
        </w:rPr>
        <w:t>级</w:t>
      </w:r>
      <w:r>
        <w:rPr>
          <w:rFonts w:hint="eastAsia" w:ascii="仿宋_GB2312" w:hAnsi="仿宋_GB2312" w:eastAsia="仿宋_GB2312" w:cs="仿宋_GB2312"/>
          <w:snapToGrid w:val="0"/>
          <w:color w:val="000000"/>
          <w:spacing w:val="0"/>
          <w:kern w:val="0"/>
          <w:sz w:val="32"/>
          <w:szCs w:val="32"/>
          <w:highlight w:val="none"/>
          <w:lang w:eastAsia="zh-CN"/>
        </w:rPr>
        <w:t>。</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000000"/>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第十三条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t xml:space="preserve">  市场监管部门根据静态风险评价量化分值表进行打分形成静态</w:t>
      </w:r>
      <w:r>
        <w:rPr>
          <w:rFonts w:hint="eastAsia" w:ascii="仿宋_GB2312" w:hAnsi="仿宋_GB2312" w:eastAsia="仿宋_GB2312" w:cs="仿宋_GB2312"/>
          <w:snapToGrid w:val="0"/>
          <w:color w:val="000000"/>
          <w:spacing w:val="0"/>
          <w:kern w:val="0"/>
          <w:sz w:val="32"/>
          <w:szCs w:val="32"/>
          <w:highlight w:val="none"/>
          <w:lang w:val="en-US" w:eastAsia="zh-CN" w:bidi="ar-SA"/>
        </w:rPr>
        <w:t>因素量化分值</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t>；根据动态风险评价量化分值表进行打分形成</w:t>
      </w:r>
      <w:r>
        <w:rPr>
          <w:rFonts w:hint="eastAsia" w:ascii="仿宋_GB2312" w:hAnsi="仿宋_GB2312" w:eastAsia="仿宋_GB2312" w:cs="仿宋_GB2312"/>
          <w:snapToGrid w:val="0"/>
          <w:color w:val="000000"/>
          <w:spacing w:val="0"/>
          <w:kern w:val="0"/>
          <w:sz w:val="32"/>
          <w:szCs w:val="32"/>
          <w:highlight w:val="none"/>
          <w:lang w:val="en-US" w:eastAsia="zh-CN" w:bidi="ar-SA"/>
        </w:rPr>
        <w:t>动态因素量化分值；通用信用风险因素，直接使用国家市场监督管理总局信用风险分类结果，具体分值通过信用风险分值（总分1000分）按照50:1折算，未进行信用风险分类的赋0分。</w:t>
      </w: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 xml:space="preserve">第十四条  </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食品安全信用风险分值为</w:t>
      </w:r>
      <w:r>
        <w:rPr>
          <w:rFonts w:hint="eastAsia" w:ascii="仿宋_GB2312" w:hAnsi="仿宋_GB2312" w:eastAsia="仿宋_GB2312" w:cs="仿宋_GB2312"/>
          <w:snapToGrid w:val="0"/>
          <w:color w:val="auto"/>
          <w:spacing w:val="0"/>
          <w:kern w:val="0"/>
          <w:sz w:val="32"/>
          <w:szCs w:val="32"/>
          <w:highlight w:val="none"/>
          <w:lang w:eastAsia="zh-CN"/>
        </w:rPr>
        <w:t>静态因素量化分值、动态因素量化分值、通用</w:t>
      </w:r>
      <w:r>
        <w:rPr>
          <w:rFonts w:hint="eastAsia" w:ascii="仿宋_GB2312" w:hAnsi="仿宋_GB2312" w:eastAsia="仿宋_GB2312" w:cs="仿宋_GB2312"/>
          <w:snapToGrid w:val="0"/>
          <w:color w:val="auto"/>
          <w:spacing w:val="0"/>
          <w:kern w:val="0"/>
          <w:sz w:val="32"/>
          <w:szCs w:val="32"/>
          <w:highlight w:val="none"/>
          <w:lang w:val="en-US" w:eastAsia="zh-CN"/>
        </w:rPr>
        <w:t>型</w:t>
      </w:r>
      <w:r>
        <w:rPr>
          <w:rFonts w:hint="eastAsia" w:ascii="仿宋_GB2312" w:hAnsi="仿宋_GB2312" w:eastAsia="仿宋_GB2312" w:cs="仿宋_GB2312"/>
          <w:snapToGrid w:val="0"/>
          <w:color w:val="auto"/>
          <w:spacing w:val="0"/>
          <w:kern w:val="0"/>
          <w:sz w:val="32"/>
          <w:szCs w:val="32"/>
          <w:highlight w:val="none"/>
          <w:lang w:eastAsia="zh-CN"/>
        </w:rPr>
        <w:t>信用风险因素量化分值之和</w:t>
      </w:r>
      <w:r>
        <w:rPr>
          <w:rFonts w:hint="eastAsia" w:ascii="仿宋_GB2312" w:hAnsi="仿宋_GB2312" w:eastAsia="仿宋_GB2312" w:cs="仿宋_GB2312"/>
          <w:snapToGrid w:val="0"/>
          <w:color w:val="auto"/>
          <w:spacing w:val="0"/>
          <w:kern w:val="0"/>
          <w:sz w:val="32"/>
          <w:szCs w:val="32"/>
          <w:highlight w:val="none"/>
          <w:lang w:val="en-US" w:eastAsia="zh-CN"/>
        </w:rPr>
        <w:t>。</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量化分值越高，食品生产经营者食品安全信用风险越高。</w:t>
      </w: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食品安全信用风险分值之和≤30分的，为A级；30分&lt;分值之和≤45分的，为B级；45分&lt;分值之和≤60分的，为C级；分值之和&gt;60分的，为D级。</w:t>
      </w:r>
    </w:p>
    <w:p>
      <w:pPr>
        <w:keepNext w:val="0"/>
        <w:keepLines w:val="0"/>
        <w:pageBreakBefore w:val="0"/>
        <w:widowControl w:val="0"/>
        <w:kinsoku/>
        <w:wordWrap/>
        <w:overflowPunct w:val="0"/>
        <w:topLinePunct w:val="0"/>
        <w:autoSpaceDE/>
        <w:autoSpaceDN/>
        <w:bidi w:val="0"/>
        <w:adjustRightInd w:val="0"/>
        <w:snapToGrid w:val="0"/>
        <w:spacing w:line="576" w:lineRule="exact"/>
        <w:ind w:firstLine="598" w:firstLineChars="187"/>
        <w:jc w:val="both"/>
        <w:textAlignment w:val="auto"/>
        <w:rPr>
          <w:rFonts w:hint="eastAsia" w:ascii="仿宋_GB2312" w:hAnsi="仿宋_GB2312" w:eastAsia="仿宋_GB2312" w:cs="仿宋_GB2312"/>
          <w:b/>
          <w:bCs/>
          <w:snapToGrid w:val="0"/>
          <w:color w:val="FF0000"/>
          <w:spacing w:val="0"/>
          <w:kern w:val="0"/>
          <w:sz w:val="32"/>
          <w:szCs w:val="32"/>
          <w:highlight w:val="none"/>
          <w:lang w:eastAsia="zh-CN"/>
        </w:rPr>
      </w:pPr>
      <w:r>
        <w:rPr>
          <w:rFonts w:hint="eastAsia" w:ascii="黑体" w:hAnsi="黑体" w:eastAsia="黑体" w:cs="黑体"/>
          <w:snapToGrid w:val="0"/>
          <w:color w:val="auto"/>
          <w:spacing w:val="0"/>
          <w:kern w:val="0"/>
          <w:sz w:val="32"/>
          <w:szCs w:val="32"/>
          <w:highlight w:val="none"/>
          <w:lang w:val="en-US" w:eastAsia="zh-CN"/>
        </w:rPr>
        <w:t>第十五条</w:t>
      </w:r>
      <w:r>
        <w:rPr>
          <w:rFonts w:hint="eastAsia" w:ascii="仿宋_GB2312" w:hAnsi="仿宋_GB2312" w:eastAsia="仿宋_GB2312" w:cs="仿宋_GB2312"/>
          <w:snapToGrid w:val="0"/>
          <w:color w:val="auto"/>
          <w:spacing w:val="0"/>
          <w:kern w:val="0"/>
          <w:sz w:val="32"/>
          <w:szCs w:val="32"/>
          <w:highlight w:val="none"/>
          <w:u w:val="none"/>
          <w:lang w:val="en-US" w:eastAsia="zh-CN"/>
        </w:rPr>
        <w:t xml:space="preserve">  食品生产经营者</w:t>
      </w:r>
      <w:r>
        <w:rPr>
          <w:rFonts w:hint="eastAsia" w:ascii="仿宋_GB2312" w:hAnsi="仿宋_GB2312" w:eastAsia="仿宋_GB2312" w:cs="仿宋_GB2312"/>
          <w:snapToGrid w:val="0"/>
          <w:color w:val="auto"/>
          <w:spacing w:val="0"/>
          <w:kern w:val="0"/>
          <w:sz w:val="32"/>
          <w:szCs w:val="32"/>
          <w:highlight w:val="none"/>
          <w:lang w:eastAsia="zh-CN"/>
        </w:rPr>
        <w:t>已确定风险等级且风险因素未发生变化，可保持原有风险等级不变。</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rPr>
      </w:pPr>
      <w:r>
        <w:rPr>
          <w:rFonts w:hint="eastAsia" w:ascii="仿宋_GB2312" w:hAnsi="仿宋_GB2312" w:eastAsia="仿宋_GB2312" w:cs="仿宋_GB2312"/>
          <w:snapToGrid w:val="0"/>
          <w:color w:val="auto"/>
          <w:spacing w:val="0"/>
          <w:kern w:val="0"/>
          <w:sz w:val="32"/>
          <w:szCs w:val="32"/>
          <w:highlight w:val="none"/>
          <w:lang w:val="en-US" w:eastAsia="zh-CN"/>
        </w:rPr>
        <w:t>县级以上市场监管部门</w:t>
      </w:r>
      <w:r>
        <w:rPr>
          <w:rFonts w:hint="eastAsia" w:ascii="仿宋_GB2312" w:hAnsi="仿宋_GB2312" w:eastAsia="仿宋_GB2312" w:cs="仿宋_GB2312"/>
          <w:snapToGrid w:val="0"/>
          <w:color w:val="auto"/>
          <w:spacing w:val="0"/>
          <w:kern w:val="0"/>
          <w:sz w:val="32"/>
          <w:szCs w:val="32"/>
          <w:highlight w:val="none"/>
          <w:u w:val="none"/>
          <w:lang w:val="en-US" w:eastAsia="zh-CN"/>
        </w:rPr>
        <w:t>原则上</w:t>
      </w:r>
      <w:r>
        <w:rPr>
          <w:rFonts w:hint="eastAsia" w:ascii="仿宋_GB2312" w:hAnsi="仿宋_GB2312" w:eastAsia="仿宋_GB2312" w:cs="仿宋_GB2312"/>
          <w:snapToGrid w:val="0"/>
          <w:color w:val="auto"/>
          <w:spacing w:val="0"/>
          <w:kern w:val="0"/>
          <w:sz w:val="32"/>
          <w:szCs w:val="32"/>
          <w:highlight w:val="none"/>
          <w:lang w:val="en-US" w:eastAsia="zh-CN"/>
        </w:rPr>
        <w:t>应在</w:t>
      </w:r>
      <w:r>
        <w:rPr>
          <w:rFonts w:hint="eastAsia" w:ascii="仿宋_GB2312" w:hAnsi="仿宋_GB2312" w:eastAsia="仿宋_GB2312" w:cs="仿宋_GB2312"/>
          <w:snapToGrid w:val="0"/>
          <w:color w:val="auto"/>
          <w:spacing w:val="0"/>
          <w:kern w:val="0"/>
          <w:sz w:val="32"/>
          <w:szCs w:val="32"/>
          <w:highlight w:val="none"/>
          <w:u w:val="none"/>
        </w:rPr>
        <w:t>新设立</w:t>
      </w:r>
      <w:r>
        <w:rPr>
          <w:rFonts w:hint="eastAsia" w:ascii="仿宋_GB2312" w:hAnsi="仿宋_GB2312" w:eastAsia="仿宋_GB2312" w:cs="仿宋_GB2312"/>
          <w:snapToGrid w:val="0"/>
          <w:color w:val="auto"/>
          <w:spacing w:val="0"/>
          <w:kern w:val="0"/>
          <w:sz w:val="32"/>
          <w:szCs w:val="32"/>
          <w:highlight w:val="none"/>
          <w:u w:val="none"/>
          <w:lang w:eastAsia="zh-CN"/>
        </w:rPr>
        <w:t>的食品</w:t>
      </w:r>
      <w:r>
        <w:rPr>
          <w:rFonts w:hint="eastAsia" w:ascii="仿宋_GB2312" w:hAnsi="仿宋_GB2312" w:eastAsia="仿宋_GB2312" w:cs="仿宋_GB2312"/>
          <w:snapToGrid w:val="0"/>
          <w:color w:val="auto"/>
          <w:spacing w:val="0"/>
          <w:kern w:val="0"/>
          <w:sz w:val="32"/>
          <w:szCs w:val="32"/>
          <w:highlight w:val="none"/>
          <w:u w:val="none"/>
        </w:rPr>
        <w:t>生产经营者</w:t>
      </w:r>
      <w:r>
        <w:rPr>
          <w:rFonts w:hint="eastAsia" w:ascii="仿宋_GB2312" w:hAnsi="仿宋_GB2312" w:eastAsia="仿宋_GB2312" w:cs="仿宋_GB2312"/>
          <w:snapToGrid w:val="0"/>
          <w:color w:val="auto"/>
          <w:spacing w:val="0"/>
          <w:kern w:val="0"/>
          <w:sz w:val="32"/>
          <w:szCs w:val="32"/>
          <w:highlight w:val="none"/>
          <w:u w:val="none"/>
          <w:lang w:eastAsia="zh-CN"/>
        </w:rPr>
        <w:t>（不含仅销售预包装食品销售者）</w:t>
      </w:r>
      <w:r>
        <w:rPr>
          <w:rFonts w:hint="eastAsia" w:ascii="仿宋_GB2312" w:hAnsi="仿宋_GB2312" w:eastAsia="仿宋_GB2312" w:cs="仿宋_GB2312"/>
          <w:snapToGrid w:val="0"/>
          <w:color w:val="auto"/>
          <w:spacing w:val="0"/>
          <w:kern w:val="0"/>
          <w:sz w:val="32"/>
          <w:szCs w:val="32"/>
          <w:highlight w:val="none"/>
          <w:lang w:eastAsia="zh-CN"/>
        </w:rPr>
        <w:t>获得许可证之日起</w:t>
      </w:r>
      <w:r>
        <w:rPr>
          <w:rFonts w:hint="eastAsia" w:ascii="仿宋_GB2312" w:hAnsi="仿宋_GB2312" w:eastAsia="仿宋_GB2312" w:cs="仿宋_GB2312"/>
          <w:snapToGrid w:val="0"/>
          <w:color w:val="auto"/>
          <w:spacing w:val="0"/>
          <w:kern w:val="0"/>
          <w:sz w:val="32"/>
          <w:szCs w:val="32"/>
          <w:highlight w:val="none"/>
          <w:lang w:val="en-US" w:eastAsia="zh-CN"/>
        </w:rPr>
        <w:t>3个月内，</w:t>
      </w:r>
      <w:r>
        <w:rPr>
          <w:rFonts w:hint="eastAsia" w:ascii="仿宋_GB2312" w:hAnsi="仿宋_GB2312" w:eastAsia="仿宋_GB2312" w:cs="仿宋_GB2312"/>
          <w:snapToGrid w:val="0"/>
          <w:color w:val="auto"/>
          <w:spacing w:val="0"/>
          <w:kern w:val="0"/>
          <w:sz w:val="32"/>
          <w:szCs w:val="32"/>
          <w:highlight w:val="none"/>
          <w:lang w:eastAsia="zh-CN"/>
        </w:rPr>
        <w:t>新备案的仅销售预包装食品销售者实施备案之日起30个工作日内，确定</w:t>
      </w:r>
      <w:r>
        <w:rPr>
          <w:rFonts w:hint="eastAsia" w:ascii="仿宋_GB2312" w:hAnsi="仿宋_GB2312" w:eastAsia="仿宋_GB2312" w:cs="仿宋_GB2312"/>
          <w:snapToGrid w:val="0"/>
          <w:color w:val="auto"/>
          <w:spacing w:val="0"/>
          <w:kern w:val="0"/>
          <w:sz w:val="32"/>
          <w:szCs w:val="32"/>
          <w:highlight w:val="none"/>
          <w:lang w:val="en-US" w:eastAsia="zh-CN"/>
        </w:rPr>
        <w:t>其</w:t>
      </w:r>
      <w:r>
        <w:rPr>
          <w:rFonts w:hint="eastAsia" w:ascii="仿宋_GB2312" w:hAnsi="仿宋_GB2312" w:eastAsia="仿宋_GB2312" w:cs="仿宋_GB2312"/>
          <w:snapToGrid w:val="0"/>
          <w:color w:val="auto"/>
          <w:spacing w:val="0"/>
          <w:kern w:val="0"/>
          <w:sz w:val="32"/>
          <w:szCs w:val="32"/>
          <w:highlight w:val="none"/>
          <w:lang w:eastAsia="zh-CN"/>
        </w:rPr>
        <w:t>首次风险等级。</w:t>
      </w:r>
    </w:p>
    <w:p>
      <w:pPr>
        <w:keepNext w:val="0"/>
        <w:keepLines w:val="0"/>
        <w:pageBreakBefore w:val="0"/>
        <w:widowControl w:val="0"/>
        <w:kinsoku/>
        <w:wordWrap/>
        <w:overflowPunct w:val="0"/>
        <w:topLinePunct w:val="0"/>
        <w:autoSpaceDE/>
        <w:autoSpaceDN/>
        <w:bidi w:val="0"/>
        <w:adjustRightInd w:val="0"/>
        <w:snapToGrid w:val="0"/>
        <w:spacing w:line="576" w:lineRule="exact"/>
        <w:ind w:firstLine="598" w:firstLineChars="187"/>
        <w:jc w:val="both"/>
        <w:textAlignment w:val="auto"/>
        <w:rPr>
          <w:rFonts w:hint="eastAsia" w:ascii="仿宋_GB2312" w:hAnsi="仿宋_GB2312" w:eastAsia="仿宋_GB2312" w:cs="仿宋_GB2312"/>
          <w:snapToGrid w:val="0"/>
          <w:color w:val="auto"/>
          <w:spacing w:val="0"/>
          <w:kern w:val="0"/>
          <w:sz w:val="32"/>
          <w:szCs w:val="32"/>
          <w:highlight w:val="none"/>
          <w:lang w:eastAsia="zh-CN"/>
        </w:rPr>
      </w:pPr>
      <w:r>
        <w:rPr>
          <w:rFonts w:hint="eastAsia" w:ascii="仿宋_GB2312" w:hAnsi="仿宋_GB2312" w:eastAsia="仿宋_GB2312" w:cs="仿宋_GB2312"/>
          <w:snapToGrid w:val="0"/>
          <w:color w:val="auto"/>
          <w:spacing w:val="0"/>
          <w:kern w:val="0"/>
          <w:sz w:val="32"/>
          <w:szCs w:val="32"/>
          <w:highlight w:val="none"/>
          <w:lang w:eastAsia="zh-CN"/>
        </w:rPr>
        <w:t>对食品经营许可证注销并依法进行仅销售预包装食品备案的食品销售者，如已确定其风险等级且风险因素未发生变化，可保持原有风险等级不变。</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第十六条</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  存在下列情形之一的，</w:t>
      </w:r>
      <w:bookmarkStart w:id="0" w:name="_GoBack"/>
      <w:bookmarkEnd w:id="0"/>
      <w:r>
        <w:rPr>
          <w:rFonts w:hint="eastAsia" w:ascii="仿宋_GB2312" w:hAnsi="仿宋_GB2312" w:eastAsia="仿宋_GB2312" w:cs="仿宋_GB2312"/>
          <w:snapToGrid w:val="0"/>
          <w:color w:val="auto"/>
          <w:spacing w:val="0"/>
          <w:kern w:val="0"/>
          <w:sz w:val="32"/>
          <w:szCs w:val="32"/>
          <w:highlight w:val="none"/>
          <w:lang w:val="en-US" w:eastAsia="zh-CN" w:bidi="ar-SA"/>
        </w:rPr>
        <w:t>食品生产经营者风险等级</w:t>
      </w:r>
      <w:r>
        <w:rPr>
          <w:rFonts w:hint="eastAsia" w:ascii="仿宋_GB2312" w:hAnsi="仿宋_GB2312" w:eastAsia="仿宋_GB2312" w:cs="仿宋_GB2312"/>
          <w:strike w:val="0"/>
          <w:dstrike w:val="0"/>
          <w:snapToGrid w:val="0"/>
          <w:color w:val="auto"/>
          <w:spacing w:val="0"/>
          <w:kern w:val="0"/>
          <w:sz w:val="32"/>
          <w:szCs w:val="32"/>
          <w:highlight w:val="none"/>
          <w:lang w:val="en-US" w:eastAsia="zh-CN" w:bidi="ar-SA"/>
        </w:rPr>
        <w:t>应当</w:t>
      </w:r>
      <w:r>
        <w:rPr>
          <w:rFonts w:hint="eastAsia" w:ascii="仿宋_GB2312" w:hAnsi="仿宋_GB2312" w:eastAsia="仿宋_GB2312" w:cs="仿宋_GB2312"/>
          <w:snapToGrid w:val="0"/>
          <w:color w:val="auto"/>
          <w:spacing w:val="0"/>
          <w:kern w:val="0"/>
          <w:sz w:val="32"/>
          <w:szCs w:val="32"/>
          <w:highlight w:val="none"/>
          <w:lang w:val="en-US" w:eastAsia="zh-CN" w:bidi="ar-SA"/>
        </w:rPr>
        <w:t>调高一个等级：</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（一）违反食品安全法律法规受到除警告、责令停产停业、吊销许可证之外的行政处罚的；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（二）生产经营的食品被监督抽检</w:t>
      </w:r>
      <w:r>
        <w:rPr>
          <w:rFonts w:hint="eastAsia" w:ascii="仿宋_GB2312" w:hAnsi="仿宋_GB2312" w:eastAsia="仿宋_GB2312" w:cs="仿宋_GB2312"/>
          <w:strike w:val="0"/>
          <w:dstrike w:val="0"/>
          <w:snapToGrid w:val="0"/>
          <w:color w:val="auto"/>
          <w:spacing w:val="0"/>
          <w:kern w:val="0"/>
          <w:sz w:val="32"/>
          <w:szCs w:val="32"/>
          <w:highlight w:val="none"/>
          <w:lang w:val="en-US" w:eastAsia="zh-CN" w:bidi="ar-SA"/>
        </w:rPr>
        <w:t>不合格</w:t>
      </w:r>
      <w:r>
        <w:rPr>
          <w:rFonts w:hint="eastAsia" w:ascii="仿宋_GB2312" w:hAnsi="仿宋_GB2312" w:eastAsia="仿宋_GB2312" w:cs="仿宋_GB2312"/>
          <w:snapToGrid w:val="0"/>
          <w:color w:val="auto"/>
          <w:spacing w:val="0"/>
          <w:kern w:val="0"/>
          <w:sz w:val="32"/>
          <w:szCs w:val="32"/>
          <w:highlight w:val="none"/>
          <w:lang w:val="en-US" w:eastAsia="zh-CN" w:bidi="ar-SA"/>
        </w:rPr>
        <w:t>，且经查证未落实相关责任义务的；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（三）因食品安全问题被市场监管部门责任约谈的；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（四）开展公开自我承诺的食品生产经营者，未履行承诺的；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trike w:val="0"/>
          <w:dstrike w:val="0"/>
          <w:snapToGrid w:val="0"/>
          <w:color w:val="auto"/>
          <w:spacing w:val="0"/>
          <w:kern w:val="0"/>
          <w:sz w:val="32"/>
          <w:szCs w:val="32"/>
          <w:highlight w:val="none"/>
          <w:lang w:val="en-US" w:eastAsia="zh-CN" w:bidi="ar-SA"/>
        </w:rPr>
      </w:pPr>
      <w:r>
        <w:rPr>
          <w:rFonts w:hint="eastAsia" w:ascii="仿宋_GB2312" w:hAnsi="仿宋_GB2312" w:eastAsia="仿宋_GB2312" w:cs="仿宋_GB2312"/>
          <w:strike w:val="0"/>
          <w:dstrike w:val="0"/>
          <w:snapToGrid w:val="0"/>
          <w:color w:val="auto"/>
          <w:spacing w:val="0"/>
          <w:kern w:val="0"/>
          <w:sz w:val="32"/>
          <w:szCs w:val="32"/>
          <w:highlight w:val="none"/>
          <w:lang w:val="en-US" w:eastAsia="zh-CN" w:bidi="ar-SA"/>
        </w:rPr>
        <w:t>（五）食品销售者在经营场所内开展食品简单制售活动的；</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（六）无堂食</w:t>
      </w:r>
      <w:r>
        <w:rPr>
          <w:rFonts w:hint="eastAsia" w:ascii="仿宋_GB2312" w:hAnsi="仿宋_GB2312" w:eastAsia="仿宋_GB2312" w:cs="仿宋_GB2312"/>
          <w:strike w:val="0"/>
          <w:dstrike w:val="0"/>
          <w:snapToGrid w:val="0"/>
          <w:color w:val="auto"/>
          <w:spacing w:val="0"/>
          <w:kern w:val="0"/>
          <w:sz w:val="32"/>
          <w:szCs w:val="32"/>
          <w:highlight w:val="none"/>
          <w:lang w:val="en-US" w:eastAsia="zh-CN" w:bidi="ar-SA"/>
        </w:rPr>
        <w:t>网络餐饮服务者</w:t>
      </w:r>
      <w:r>
        <w:rPr>
          <w:rFonts w:hint="eastAsia" w:ascii="仿宋_GB2312" w:hAnsi="仿宋_GB2312" w:eastAsia="仿宋_GB2312" w:cs="仿宋_GB2312"/>
          <w:snapToGrid w:val="0"/>
          <w:color w:val="auto"/>
          <w:spacing w:val="0"/>
          <w:kern w:val="0"/>
          <w:sz w:val="32"/>
          <w:szCs w:val="32"/>
          <w:highlight w:val="none"/>
          <w:lang w:val="en-US" w:eastAsia="zh-CN" w:bidi="ar-SA"/>
        </w:rPr>
        <w:t>或未实现“明厨亮灶”的餐饮服务者；</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（七）违反食品安全法律法规规定，造成不良社会影响的； </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（八）其他应当调整的情形。</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第十七条</w:t>
      </w:r>
      <w:r>
        <w:rPr>
          <w:rFonts w:hint="eastAsia" w:ascii="仿宋_GB2312" w:hAnsi="仿宋_GB2312" w:eastAsia="仿宋_GB2312" w:cs="仿宋_GB2312"/>
          <w:snapToGrid w:val="0"/>
          <w:color w:val="auto"/>
          <w:spacing w:val="0"/>
          <w:kern w:val="0"/>
          <w:sz w:val="32"/>
          <w:szCs w:val="32"/>
          <w:highlight w:val="none"/>
          <w:lang w:val="en-US" w:eastAsia="zh-CN" w:bidi="ar-SA"/>
        </w:rPr>
        <w:t>　存在下列情形之一的，食品生产经营者风险等级</w:t>
      </w:r>
      <w:r>
        <w:rPr>
          <w:rFonts w:hint="eastAsia" w:ascii="仿宋_GB2312" w:hAnsi="仿宋_GB2312" w:eastAsia="仿宋_GB2312" w:cs="仿宋_GB2312"/>
          <w:strike w:val="0"/>
          <w:dstrike w:val="0"/>
          <w:snapToGrid w:val="0"/>
          <w:color w:val="auto"/>
          <w:spacing w:val="0"/>
          <w:kern w:val="0"/>
          <w:sz w:val="32"/>
          <w:szCs w:val="32"/>
          <w:highlight w:val="none"/>
          <w:lang w:val="en-US" w:eastAsia="zh-CN" w:bidi="ar-SA"/>
        </w:rPr>
        <w:t>应当</w:t>
      </w:r>
      <w:r>
        <w:rPr>
          <w:rFonts w:hint="eastAsia" w:ascii="仿宋_GB2312" w:hAnsi="仿宋_GB2312" w:eastAsia="仿宋_GB2312" w:cs="仿宋_GB2312"/>
          <w:snapToGrid w:val="0"/>
          <w:color w:val="auto"/>
          <w:spacing w:val="0"/>
          <w:kern w:val="0"/>
          <w:sz w:val="32"/>
          <w:szCs w:val="32"/>
          <w:highlight w:val="none"/>
          <w:lang w:val="en-US" w:eastAsia="zh-CN" w:bidi="ar-SA"/>
        </w:rPr>
        <w:t>调整为D级：</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（一）拒绝、逃避、阻挠执法人员进行监督检查或者监督抽检，或者拒不配合执法人员进行案件调查的；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（二）隐匿、销毁、伪造相关材料的；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FF0000"/>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（三）违反食品安全法律法规受到责令停产停业处罚的，或累计两次因违反食品安全法律法规受到警告、责令停产停业、吊销许可证以外处罚的；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（四）出现三批次及以上监督抽检不合格的或二十四个月内特殊食品生产企业累计出现三批次及以上监督抽检不合格的，且经查证未落实相关责任义务的；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（五）不按规定召回或者停止生产经营的；</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76" w:lineRule="exact"/>
        <w:ind w:firstLine="640" w:firstLineChars="200"/>
        <w:jc w:val="both"/>
        <w:textAlignment w:val="auto"/>
        <w:rPr>
          <w:rStyle w:val="19"/>
          <w:rFonts w:hint="eastAsia" w:ascii="仿宋_GB2312" w:hAnsi="仿宋_GB2312" w:eastAsia="仿宋_GB2312" w:cs="仿宋_GB2312"/>
          <w:snapToGrid w:val="0"/>
          <w:color w:val="auto"/>
          <w:spacing w:val="0"/>
          <w:kern w:val="0"/>
          <w:sz w:val="32"/>
          <w:szCs w:val="32"/>
          <w:highlight w:val="none"/>
          <w:lang w:val="en-US" w:eastAsia="zh-CN"/>
        </w:rPr>
      </w:pPr>
      <w:r>
        <w:rPr>
          <w:rStyle w:val="19"/>
          <w:rFonts w:hint="eastAsia" w:ascii="仿宋_GB2312" w:hAnsi="仿宋_GB2312" w:eastAsia="仿宋_GB2312" w:cs="仿宋_GB2312"/>
          <w:snapToGrid w:val="0"/>
          <w:color w:val="auto"/>
          <w:spacing w:val="0"/>
          <w:kern w:val="0"/>
          <w:sz w:val="32"/>
          <w:szCs w:val="32"/>
          <w:highlight w:val="none"/>
          <w:lang w:val="en-US" w:eastAsia="zh-CN"/>
        </w:rPr>
        <w:t>（六）</w:t>
      </w:r>
      <w:r>
        <w:rPr>
          <w:rStyle w:val="19"/>
          <w:rFonts w:hint="eastAsia" w:ascii="仿宋_GB2312" w:hAnsi="仿宋_GB2312" w:eastAsia="仿宋_GB2312" w:cs="仿宋_GB2312"/>
          <w:snapToGrid w:val="0"/>
          <w:color w:val="auto"/>
          <w:spacing w:val="0"/>
          <w:kern w:val="0"/>
          <w:sz w:val="32"/>
          <w:szCs w:val="32"/>
          <w:highlight w:val="none"/>
          <w:lang w:bidi="ar-SA"/>
        </w:rPr>
        <w:t>食品生产</w:t>
      </w:r>
      <w:r>
        <w:rPr>
          <w:rStyle w:val="19"/>
          <w:rFonts w:hint="eastAsia" w:ascii="仿宋_GB2312" w:hAnsi="仿宋_GB2312" w:eastAsia="仿宋_GB2312" w:cs="仿宋_GB2312"/>
          <w:snapToGrid w:val="0"/>
          <w:color w:val="auto"/>
          <w:spacing w:val="0"/>
          <w:kern w:val="0"/>
          <w:sz w:val="32"/>
          <w:szCs w:val="32"/>
          <w:highlight w:val="none"/>
          <w:lang w:val="en-US" w:eastAsia="zh-CN" w:bidi="ar-SA"/>
        </w:rPr>
        <w:t>者出现</w:t>
      </w:r>
      <w:r>
        <w:rPr>
          <w:rStyle w:val="19"/>
          <w:rFonts w:hint="eastAsia" w:ascii="仿宋_GB2312" w:hAnsi="仿宋_GB2312" w:eastAsia="仿宋_GB2312" w:cs="仿宋_GB2312"/>
          <w:snapToGrid w:val="0"/>
          <w:color w:val="auto"/>
          <w:spacing w:val="0"/>
          <w:kern w:val="0"/>
          <w:sz w:val="32"/>
          <w:szCs w:val="32"/>
          <w:highlight w:val="none"/>
          <w:lang w:bidi="ar-SA"/>
        </w:rPr>
        <w:t>非法添加、掺杂掺假、</w:t>
      </w:r>
      <w:r>
        <w:rPr>
          <w:rStyle w:val="19"/>
          <w:rFonts w:hint="eastAsia" w:ascii="仿宋_GB2312" w:hAnsi="仿宋_GB2312" w:eastAsia="仿宋_GB2312" w:cs="仿宋_GB2312"/>
          <w:snapToGrid w:val="0"/>
          <w:color w:val="auto"/>
          <w:spacing w:val="0"/>
          <w:kern w:val="0"/>
          <w:sz w:val="32"/>
          <w:szCs w:val="32"/>
          <w:highlight w:val="none"/>
          <w:lang w:val="en-US" w:eastAsia="zh-CN" w:bidi="ar-SA"/>
        </w:rPr>
        <w:t>以次充好、</w:t>
      </w:r>
      <w:r>
        <w:rPr>
          <w:rStyle w:val="19"/>
          <w:rFonts w:hint="eastAsia" w:ascii="仿宋_GB2312" w:hAnsi="仿宋_GB2312" w:eastAsia="仿宋_GB2312" w:cs="仿宋_GB2312"/>
          <w:snapToGrid w:val="0"/>
          <w:color w:val="auto"/>
          <w:spacing w:val="0"/>
          <w:kern w:val="0"/>
          <w:sz w:val="32"/>
          <w:szCs w:val="32"/>
          <w:highlight w:val="none"/>
          <w:lang w:bidi="ar-SA"/>
        </w:rPr>
        <w:t>对违法行为屡查屡犯等恶意违法</w:t>
      </w:r>
      <w:r>
        <w:rPr>
          <w:rStyle w:val="19"/>
          <w:rFonts w:hint="eastAsia" w:ascii="仿宋_GB2312" w:hAnsi="仿宋_GB2312" w:eastAsia="仿宋_GB2312" w:cs="仿宋_GB2312"/>
          <w:snapToGrid w:val="0"/>
          <w:color w:val="auto"/>
          <w:spacing w:val="0"/>
          <w:kern w:val="0"/>
          <w:sz w:val="32"/>
          <w:szCs w:val="32"/>
          <w:highlight w:val="none"/>
          <w:lang w:val="en-US" w:eastAsia="zh-CN" w:bidi="ar-SA"/>
        </w:rPr>
        <w:t>行为的</w:t>
      </w:r>
      <w:r>
        <w:rPr>
          <w:rStyle w:val="19"/>
          <w:rFonts w:hint="eastAsia" w:ascii="仿宋_GB2312" w:hAnsi="仿宋_GB2312" w:eastAsia="仿宋_GB2312" w:cs="仿宋_GB2312"/>
          <w:snapToGrid w:val="0"/>
          <w:color w:val="auto"/>
          <w:spacing w:val="0"/>
          <w:kern w:val="0"/>
          <w:sz w:val="32"/>
          <w:szCs w:val="32"/>
          <w:highlight w:val="none"/>
          <w:lang w:val="en-US" w:eastAsia="zh-CN"/>
        </w:rPr>
        <w:t>；</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（七）危害婴幼儿、老年人、病人和孕产妇等特定人群身体健康和生命安全的；</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76" w:lineRule="exact"/>
        <w:ind w:firstLine="640" w:firstLineChars="200"/>
        <w:jc w:val="both"/>
        <w:textAlignment w:val="auto"/>
        <w:rPr>
          <w:rStyle w:val="19"/>
          <w:rFonts w:hint="eastAsia" w:ascii="仿宋_GB2312" w:hAnsi="仿宋_GB2312" w:eastAsia="仿宋_GB2312" w:cs="仿宋_GB2312"/>
          <w:snapToGrid w:val="0"/>
          <w:color w:val="auto"/>
          <w:spacing w:val="0"/>
          <w:kern w:val="0"/>
          <w:sz w:val="32"/>
          <w:szCs w:val="32"/>
          <w:highlight w:val="none"/>
          <w:lang w:eastAsia="zh-CN"/>
        </w:rPr>
      </w:pPr>
      <w:r>
        <w:rPr>
          <w:rStyle w:val="19"/>
          <w:rFonts w:hint="eastAsia" w:ascii="仿宋_GB2312" w:hAnsi="仿宋_GB2312" w:eastAsia="仿宋_GB2312" w:cs="仿宋_GB2312"/>
          <w:snapToGrid w:val="0"/>
          <w:color w:val="auto"/>
          <w:spacing w:val="0"/>
          <w:kern w:val="0"/>
          <w:sz w:val="32"/>
          <w:szCs w:val="32"/>
          <w:highlight w:val="none"/>
          <w:lang w:eastAsia="zh-CN"/>
        </w:rPr>
        <w:t>（</w:t>
      </w:r>
      <w:r>
        <w:rPr>
          <w:rStyle w:val="19"/>
          <w:rFonts w:hint="eastAsia" w:ascii="仿宋_GB2312" w:hAnsi="仿宋_GB2312" w:eastAsia="仿宋_GB2312" w:cs="仿宋_GB2312"/>
          <w:snapToGrid w:val="0"/>
          <w:color w:val="auto"/>
          <w:spacing w:val="0"/>
          <w:kern w:val="0"/>
          <w:sz w:val="32"/>
          <w:szCs w:val="32"/>
          <w:highlight w:val="none"/>
          <w:lang w:val="en-US" w:eastAsia="zh-CN"/>
        </w:rPr>
        <w:t>八</w:t>
      </w:r>
      <w:r>
        <w:rPr>
          <w:rStyle w:val="19"/>
          <w:rFonts w:hint="eastAsia" w:ascii="仿宋_GB2312" w:hAnsi="仿宋_GB2312" w:eastAsia="仿宋_GB2312" w:cs="仿宋_GB2312"/>
          <w:snapToGrid w:val="0"/>
          <w:color w:val="auto"/>
          <w:spacing w:val="0"/>
          <w:kern w:val="0"/>
          <w:sz w:val="32"/>
          <w:szCs w:val="32"/>
          <w:highlight w:val="none"/>
          <w:lang w:eastAsia="zh-CN"/>
        </w:rPr>
        <w:t>）</w:t>
      </w:r>
      <w:r>
        <w:rPr>
          <w:rStyle w:val="19"/>
          <w:rFonts w:hint="eastAsia" w:ascii="仿宋_GB2312" w:hAnsi="仿宋_GB2312" w:eastAsia="仿宋_GB2312" w:cs="仿宋_GB2312"/>
          <w:snapToGrid w:val="0"/>
          <w:color w:val="auto"/>
          <w:spacing w:val="0"/>
          <w:kern w:val="0"/>
          <w:sz w:val="32"/>
          <w:szCs w:val="32"/>
          <w:highlight w:val="none"/>
        </w:rPr>
        <w:t>发生</w:t>
      </w:r>
      <w:r>
        <w:rPr>
          <w:rStyle w:val="19"/>
          <w:rFonts w:hint="eastAsia" w:ascii="仿宋_GB2312" w:hAnsi="仿宋_GB2312" w:eastAsia="仿宋_GB2312" w:cs="仿宋_GB2312"/>
          <w:snapToGrid w:val="0"/>
          <w:color w:val="auto"/>
          <w:spacing w:val="0"/>
          <w:kern w:val="0"/>
          <w:sz w:val="32"/>
          <w:szCs w:val="32"/>
          <w:highlight w:val="none"/>
          <w:lang w:val="en-US" w:eastAsia="zh-CN"/>
        </w:rPr>
        <w:t>一般</w:t>
      </w:r>
      <w:r>
        <w:rPr>
          <w:rStyle w:val="19"/>
          <w:rFonts w:hint="eastAsia" w:ascii="仿宋_GB2312" w:hAnsi="仿宋_GB2312" w:eastAsia="仿宋_GB2312" w:cs="仿宋_GB2312"/>
          <w:snapToGrid w:val="0"/>
          <w:color w:val="auto"/>
          <w:spacing w:val="0"/>
          <w:kern w:val="0"/>
          <w:sz w:val="32"/>
          <w:szCs w:val="32"/>
          <w:highlight w:val="none"/>
          <w:lang w:eastAsia="zh-CN"/>
        </w:rPr>
        <w:t>及以上</w:t>
      </w:r>
      <w:r>
        <w:rPr>
          <w:rStyle w:val="19"/>
          <w:rFonts w:hint="eastAsia" w:ascii="仿宋_GB2312" w:hAnsi="仿宋_GB2312" w:eastAsia="仿宋_GB2312" w:cs="仿宋_GB2312"/>
          <w:snapToGrid w:val="0"/>
          <w:color w:val="auto"/>
          <w:spacing w:val="0"/>
          <w:kern w:val="0"/>
          <w:sz w:val="32"/>
          <w:szCs w:val="32"/>
          <w:highlight w:val="none"/>
        </w:rPr>
        <w:t>食品安全事故</w:t>
      </w:r>
      <w:r>
        <w:rPr>
          <w:rStyle w:val="19"/>
          <w:rFonts w:hint="eastAsia" w:ascii="仿宋_GB2312" w:hAnsi="仿宋_GB2312" w:eastAsia="仿宋_GB2312" w:cs="仿宋_GB2312"/>
          <w:snapToGrid w:val="0"/>
          <w:color w:val="auto"/>
          <w:spacing w:val="0"/>
          <w:kern w:val="0"/>
          <w:sz w:val="32"/>
          <w:szCs w:val="32"/>
          <w:highlight w:val="none"/>
          <w:lang w:eastAsia="zh-CN"/>
        </w:rPr>
        <w:t>；</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76" w:lineRule="exact"/>
        <w:ind w:firstLine="640" w:firstLineChars="200"/>
        <w:jc w:val="both"/>
        <w:textAlignment w:val="auto"/>
        <w:rPr>
          <w:rStyle w:val="19"/>
          <w:rFonts w:hint="eastAsia" w:ascii="仿宋_GB2312" w:hAnsi="仿宋_GB2312" w:eastAsia="仿宋_GB2312" w:cs="仿宋_GB2312"/>
          <w:snapToGrid w:val="0"/>
          <w:color w:val="auto"/>
          <w:spacing w:val="0"/>
          <w:kern w:val="0"/>
          <w:sz w:val="32"/>
          <w:szCs w:val="32"/>
          <w:highlight w:val="none"/>
          <w:lang w:eastAsia="zh-CN"/>
        </w:rPr>
      </w:pPr>
      <w:r>
        <w:rPr>
          <w:rStyle w:val="19"/>
          <w:rFonts w:hint="eastAsia" w:ascii="仿宋_GB2312" w:hAnsi="仿宋_GB2312" w:eastAsia="仿宋_GB2312" w:cs="仿宋_GB2312"/>
          <w:snapToGrid w:val="0"/>
          <w:color w:val="auto"/>
          <w:spacing w:val="0"/>
          <w:kern w:val="0"/>
          <w:sz w:val="32"/>
          <w:szCs w:val="32"/>
          <w:highlight w:val="none"/>
          <w:lang w:eastAsia="zh-CN"/>
        </w:rPr>
        <w:t>（</w:t>
      </w:r>
      <w:r>
        <w:rPr>
          <w:rStyle w:val="19"/>
          <w:rFonts w:hint="eastAsia" w:ascii="仿宋_GB2312" w:hAnsi="仿宋_GB2312" w:eastAsia="仿宋_GB2312" w:cs="仿宋_GB2312"/>
          <w:snapToGrid w:val="0"/>
          <w:color w:val="auto"/>
          <w:spacing w:val="0"/>
          <w:kern w:val="0"/>
          <w:sz w:val="32"/>
          <w:szCs w:val="32"/>
          <w:highlight w:val="none"/>
          <w:lang w:val="en-US" w:eastAsia="zh-CN"/>
        </w:rPr>
        <w:t>九</w:t>
      </w:r>
      <w:r>
        <w:rPr>
          <w:rStyle w:val="19"/>
          <w:rFonts w:hint="eastAsia" w:ascii="仿宋_GB2312" w:hAnsi="仿宋_GB2312" w:eastAsia="仿宋_GB2312" w:cs="仿宋_GB2312"/>
          <w:snapToGrid w:val="0"/>
          <w:color w:val="auto"/>
          <w:spacing w:val="0"/>
          <w:kern w:val="0"/>
          <w:sz w:val="32"/>
          <w:szCs w:val="32"/>
          <w:highlight w:val="none"/>
          <w:lang w:eastAsia="zh-CN"/>
        </w:rPr>
        <w:t>）被列入</w:t>
      </w:r>
      <w:r>
        <w:rPr>
          <w:rStyle w:val="19"/>
          <w:rFonts w:hint="eastAsia" w:ascii="仿宋_GB2312" w:hAnsi="仿宋_GB2312" w:eastAsia="仿宋_GB2312" w:cs="仿宋_GB2312"/>
          <w:snapToGrid w:val="0"/>
          <w:color w:val="auto"/>
          <w:spacing w:val="0"/>
          <w:kern w:val="0"/>
          <w:sz w:val="32"/>
          <w:szCs w:val="32"/>
          <w:highlight w:val="none"/>
        </w:rPr>
        <w:t>严重违法失信名单</w:t>
      </w:r>
      <w:r>
        <w:rPr>
          <w:rStyle w:val="19"/>
          <w:rFonts w:hint="eastAsia" w:ascii="仿宋_GB2312" w:hAnsi="仿宋_GB2312" w:eastAsia="仿宋_GB2312" w:cs="仿宋_GB2312"/>
          <w:snapToGrid w:val="0"/>
          <w:color w:val="auto"/>
          <w:spacing w:val="0"/>
          <w:kern w:val="0"/>
          <w:sz w:val="32"/>
          <w:szCs w:val="32"/>
          <w:highlight w:val="none"/>
          <w:lang w:eastAsia="zh-CN"/>
        </w:rPr>
        <w:t>；</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16" w:firstLineChars="200"/>
        <w:jc w:val="both"/>
        <w:textAlignment w:val="auto"/>
        <w:outlineLvl w:val="9"/>
        <w:rPr>
          <w:rFonts w:hint="eastAsia" w:ascii="仿宋_GB2312" w:hAnsi="仿宋_GB2312" w:eastAsia="仿宋_GB2312" w:cs="仿宋_GB2312"/>
          <w:snapToGrid w:val="0"/>
          <w:color w:val="auto"/>
          <w:spacing w:val="-6"/>
          <w:kern w:val="0"/>
          <w:sz w:val="32"/>
          <w:szCs w:val="32"/>
          <w:highlight w:val="none"/>
          <w:lang w:val="en-US" w:eastAsia="zh-CN" w:bidi="ar-SA"/>
        </w:rPr>
      </w:pPr>
      <w:r>
        <w:rPr>
          <w:rFonts w:hint="eastAsia" w:ascii="仿宋_GB2312" w:hAnsi="仿宋_GB2312" w:eastAsia="仿宋_GB2312" w:cs="仿宋_GB2312"/>
          <w:snapToGrid w:val="0"/>
          <w:color w:val="auto"/>
          <w:spacing w:val="-6"/>
          <w:kern w:val="0"/>
          <w:sz w:val="32"/>
          <w:szCs w:val="32"/>
          <w:highlight w:val="none"/>
          <w:lang w:val="en-US" w:eastAsia="zh-CN" w:bidi="ar-SA"/>
        </w:rPr>
        <w:t>（十）违反食品安全法律法规规定，造成严重不良社会影响的；</w:t>
      </w: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eastAsia="zh-CN"/>
        </w:rPr>
      </w:pPr>
      <w:r>
        <w:rPr>
          <w:rFonts w:hint="eastAsia" w:ascii="仿宋_GB2312" w:hAnsi="仿宋_GB2312" w:eastAsia="仿宋_GB2312" w:cs="仿宋_GB2312"/>
          <w:snapToGrid w:val="0"/>
          <w:color w:val="auto"/>
          <w:spacing w:val="0"/>
          <w:kern w:val="0"/>
          <w:sz w:val="32"/>
          <w:szCs w:val="32"/>
          <w:highlight w:val="none"/>
          <w:lang w:val="en-US" w:eastAsia="zh-CN"/>
        </w:rPr>
        <w:t>（十一）其他应当调整的情形。</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第十八条</w:t>
      </w:r>
      <w:r>
        <w:rPr>
          <w:rFonts w:hint="eastAsia" w:ascii="仿宋_GB2312" w:hAnsi="仿宋_GB2312" w:eastAsia="仿宋_GB2312" w:cs="仿宋_GB2312"/>
          <w:snapToGrid w:val="0"/>
          <w:color w:val="auto"/>
          <w:spacing w:val="0"/>
          <w:kern w:val="0"/>
          <w:sz w:val="32"/>
          <w:szCs w:val="32"/>
          <w:highlight w:val="none"/>
          <w:lang w:val="en-US" w:eastAsia="zh-CN" w:bidi="ar-SA"/>
        </w:rPr>
        <w:t>　存在下列情形且不存在第十六条、第十七条情形的，食品生产经营者风险等级可以且仅可调低一个等级：</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（一）连续三年食品安全监管记录没有违反本规范第十六条（第五款除外）和第十七条所列情形的；</w:t>
      </w:r>
    </w:p>
    <w:p>
      <w:pPr>
        <w:keepNext w:val="0"/>
        <w:keepLines w:val="0"/>
        <w:pageBreakBefore w:val="0"/>
        <w:widowControl w:val="0"/>
        <w:tabs>
          <w:tab w:val="left" w:pos="790"/>
          <w:tab w:val="left" w:pos="1264"/>
        </w:tabs>
        <w:kinsoku/>
        <w:wordWrap/>
        <w:overflowPunct w:val="0"/>
        <w:topLinePunct w:val="0"/>
        <w:autoSpaceDE/>
        <w:autoSpaceDN/>
        <w:bidi w:val="0"/>
        <w:adjustRightInd w:val="0"/>
        <w:snapToGrid w:val="0"/>
        <w:spacing w:line="576" w:lineRule="exact"/>
        <w:ind w:firstLine="624"/>
        <w:jc w:val="both"/>
        <w:textAlignment w:val="auto"/>
        <w:outlineLvl w:val="9"/>
        <w:rPr>
          <w:rFonts w:hint="eastAsia" w:ascii="仿宋_GB2312" w:hAnsi="仿宋_GB2312" w:eastAsia="仿宋_GB2312" w:cs="仿宋_GB2312"/>
          <w:snapToGrid w:val="0"/>
          <w:color w:val="auto"/>
          <w:spacing w:val="0"/>
          <w:kern w:val="0"/>
          <w:sz w:val="32"/>
          <w:szCs w:val="32"/>
          <w:highlight w:val="none"/>
          <w:lang w:eastAsia="zh-CN"/>
        </w:rPr>
      </w:pPr>
      <w:r>
        <w:rPr>
          <w:rFonts w:hint="eastAsia" w:ascii="仿宋_GB2312" w:hAnsi="仿宋_GB2312" w:eastAsia="仿宋_GB2312" w:cs="仿宋_GB2312"/>
          <w:snapToGrid w:val="0"/>
          <w:color w:val="auto"/>
          <w:spacing w:val="0"/>
          <w:kern w:val="0"/>
          <w:sz w:val="32"/>
          <w:szCs w:val="32"/>
          <w:highlight w:val="none"/>
        </w:rPr>
        <w:t>（</w:t>
      </w:r>
      <w:r>
        <w:rPr>
          <w:rFonts w:hint="eastAsia" w:ascii="仿宋_GB2312" w:hAnsi="仿宋_GB2312" w:eastAsia="仿宋_GB2312" w:cs="仿宋_GB2312"/>
          <w:snapToGrid w:val="0"/>
          <w:color w:val="auto"/>
          <w:spacing w:val="0"/>
          <w:kern w:val="0"/>
          <w:sz w:val="32"/>
          <w:szCs w:val="32"/>
          <w:highlight w:val="none"/>
          <w:lang w:eastAsia="zh-CN"/>
        </w:rPr>
        <w:t>二</w:t>
      </w:r>
      <w:r>
        <w:rPr>
          <w:rFonts w:hint="eastAsia" w:ascii="仿宋_GB2312" w:hAnsi="仿宋_GB2312" w:eastAsia="仿宋_GB2312" w:cs="仿宋_GB2312"/>
          <w:snapToGrid w:val="0"/>
          <w:color w:val="auto"/>
          <w:spacing w:val="0"/>
          <w:kern w:val="0"/>
          <w:sz w:val="32"/>
          <w:szCs w:val="32"/>
          <w:highlight w:val="none"/>
        </w:rPr>
        <w:t>）</w:t>
      </w:r>
      <w:r>
        <w:rPr>
          <w:rFonts w:hint="eastAsia" w:ascii="仿宋_GB2312" w:hAnsi="仿宋_GB2312" w:eastAsia="仿宋_GB2312" w:cs="仿宋_GB2312"/>
          <w:snapToGrid w:val="0"/>
          <w:color w:val="auto"/>
          <w:spacing w:val="0"/>
          <w:kern w:val="0"/>
          <w:sz w:val="32"/>
          <w:szCs w:val="32"/>
          <w:highlight w:val="none"/>
          <w:lang w:eastAsia="zh-CN"/>
        </w:rPr>
        <w:t>获得</w:t>
      </w:r>
      <w:r>
        <w:rPr>
          <w:rFonts w:hint="eastAsia" w:ascii="仿宋_GB2312" w:hAnsi="仿宋_GB2312" w:eastAsia="仿宋_GB2312" w:cs="仿宋_GB2312"/>
          <w:snapToGrid w:val="0"/>
          <w:color w:val="auto"/>
          <w:spacing w:val="0"/>
          <w:kern w:val="0"/>
          <w:sz w:val="32"/>
          <w:szCs w:val="32"/>
          <w:highlight w:val="none"/>
          <w:lang w:val="en-US" w:eastAsia="zh-CN"/>
        </w:rPr>
        <w:t>县</w:t>
      </w:r>
      <w:r>
        <w:rPr>
          <w:rFonts w:hint="eastAsia" w:ascii="仿宋_GB2312" w:hAnsi="仿宋_GB2312" w:eastAsia="仿宋_GB2312" w:cs="仿宋_GB2312"/>
          <w:snapToGrid w:val="0"/>
          <w:color w:val="auto"/>
          <w:spacing w:val="0"/>
          <w:kern w:val="0"/>
          <w:sz w:val="32"/>
          <w:szCs w:val="32"/>
          <w:highlight w:val="none"/>
          <w:lang w:eastAsia="zh-CN"/>
        </w:rPr>
        <w:t>级</w:t>
      </w:r>
      <w:r>
        <w:rPr>
          <w:rFonts w:hint="eastAsia" w:ascii="仿宋_GB2312" w:hAnsi="仿宋_GB2312" w:eastAsia="仿宋_GB2312" w:cs="仿宋_GB2312"/>
          <w:snapToGrid w:val="0"/>
          <w:color w:val="auto"/>
          <w:spacing w:val="0"/>
          <w:kern w:val="0"/>
          <w:sz w:val="32"/>
          <w:szCs w:val="32"/>
          <w:highlight w:val="none"/>
          <w:lang w:val="en-US" w:eastAsia="zh-CN"/>
        </w:rPr>
        <w:t>以上</w:t>
      </w:r>
      <w:r>
        <w:rPr>
          <w:rFonts w:hint="eastAsia" w:ascii="仿宋_GB2312" w:hAnsi="仿宋_GB2312" w:eastAsia="仿宋_GB2312" w:cs="仿宋_GB2312"/>
          <w:snapToGrid w:val="0"/>
          <w:color w:val="auto"/>
          <w:spacing w:val="0"/>
          <w:kern w:val="0"/>
          <w:sz w:val="32"/>
          <w:szCs w:val="32"/>
          <w:highlight w:val="none"/>
          <w:lang w:eastAsia="zh-CN"/>
        </w:rPr>
        <w:t>人民政府质量奖的；</w:t>
      </w:r>
    </w:p>
    <w:p>
      <w:pPr>
        <w:keepNext w:val="0"/>
        <w:keepLines w:val="0"/>
        <w:pageBreakBefore w:val="0"/>
        <w:widowControl w:val="0"/>
        <w:kinsoku/>
        <w:wordWrap/>
        <w:overflowPunct w:val="0"/>
        <w:topLinePunct w:val="0"/>
        <w:autoSpaceDE/>
        <w:autoSpaceDN/>
        <w:bidi w:val="0"/>
        <w:adjustRightInd w:val="0"/>
        <w:snapToGrid w:val="0"/>
        <w:spacing w:line="576" w:lineRule="exact"/>
        <w:ind w:firstLine="598" w:firstLineChars="187"/>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仿宋_GB2312" w:hAnsi="仿宋_GB2312" w:eastAsia="仿宋_GB2312" w:cs="仿宋_GB2312"/>
          <w:snapToGrid w:val="0"/>
          <w:color w:val="auto"/>
          <w:spacing w:val="0"/>
          <w:kern w:val="0"/>
          <w:sz w:val="32"/>
          <w:szCs w:val="32"/>
          <w:highlight w:val="none"/>
          <w:lang w:eastAsia="zh-CN"/>
        </w:rPr>
        <w:t>（三）通过</w:t>
      </w:r>
      <w:r>
        <w:rPr>
          <w:rFonts w:hint="eastAsia" w:ascii="仿宋_GB2312" w:hAnsi="仿宋_GB2312" w:eastAsia="仿宋_GB2312" w:cs="仿宋_GB2312"/>
          <w:snapToGrid w:val="0"/>
          <w:color w:val="auto"/>
          <w:spacing w:val="0"/>
          <w:kern w:val="0"/>
          <w:sz w:val="32"/>
          <w:szCs w:val="32"/>
          <w:highlight w:val="none"/>
          <w:lang w:val="en-US" w:eastAsia="zh-CN"/>
        </w:rPr>
        <w:t>HACCP、ISO9001、FSSC2200等</w:t>
      </w:r>
      <w:r>
        <w:rPr>
          <w:rFonts w:hint="eastAsia" w:ascii="仿宋_GB2312" w:hAnsi="仿宋_GB2312" w:eastAsia="仿宋_GB2312" w:cs="仿宋_GB2312"/>
          <w:snapToGrid w:val="0"/>
          <w:color w:val="auto"/>
          <w:spacing w:val="0"/>
          <w:kern w:val="0"/>
          <w:sz w:val="32"/>
          <w:szCs w:val="32"/>
          <w:highlight w:val="none"/>
          <w:lang w:eastAsia="zh-CN"/>
        </w:rPr>
        <w:t>质量安全体系认证的，或通过具备相关资质</w:t>
      </w:r>
      <w:r>
        <w:rPr>
          <w:rFonts w:hint="eastAsia" w:ascii="仿宋_GB2312" w:hAnsi="仿宋_GB2312" w:eastAsia="仿宋_GB2312" w:cs="仿宋_GB2312"/>
          <w:snapToGrid w:val="0"/>
          <w:color w:val="auto"/>
          <w:spacing w:val="0"/>
          <w:kern w:val="0"/>
          <w:sz w:val="32"/>
          <w:szCs w:val="32"/>
          <w:highlight w:val="none"/>
          <w:lang w:val="en-US" w:eastAsia="zh-CN"/>
        </w:rPr>
        <w:t>的食品安全</w:t>
      </w:r>
      <w:r>
        <w:rPr>
          <w:rFonts w:hint="eastAsia" w:ascii="仿宋_GB2312" w:hAnsi="仿宋_GB2312" w:eastAsia="仿宋_GB2312" w:cs="仿宋_GB2312"/>
          <w:snapToGrid w:val="0"/>
          <w:color w:val="auto"/>
          <w:spacing w:val="0"/>
          <w:kern w:val="0"/>
          <w:sz w:val="32"/>
          <w:szCs w:val="32"/>
          <w:highlight w:val="none"/>
          <w:lang w:eastAsia="zh-CN"/>
        </w:rPr>
        <w:t>第三方专业机构食品安全状况评价的（</w:t>
      </w:r>
      <w:r>
        <w:rPr>
          <w:rFonts w:hint="eastAsia" w:ascii="仿宋_GB2312" w:hAnsi="仿宋_GB2312" w:eastAsia="仿宋_GB2312" w:cs="仿宋_GB2312"/>
          <w:snapToGrid w:val="0"/>
          <w:color w:val="auto"/>
          <w:spacing w:val="0"/>
          <w:kern w:val="0"/>
          <w:sz w:val="32"/>
          <w:szCs w:val="32"/>
          <w:highlight w:val="none"/>
          <w:lang w:val="en-US" w:eastAsia="zh-CN"/>
        </w:rPr>
        <w:t>特殊医学用途配方食品、婴幼儿配方乳粉企业除外</w:t>
      </w:r>
      <w:r>
        <w:rPr>
          <w:rFonts w:hint="eastAsia" w:ascii="仿宋_GB2312" w:hAnsi="仿宋_GB2312" w:eastAsia="仿宋_GB2312" w:cs="仿宋_GB2312"/>
          <w:snapToGrid w:val="0"/>
          <w:color w:val="auto"/>
          <w:spacing w:val="0"/>
          <w:kern w:val="0"/>
          <w:sz w:val="32"/>
          <w:szCs w:val="32"/>
          <w:highlight w:val="none"/>
          <w:lang w:eastAsia="zh-CN"/>
        </w:rPr>
        <w:t>）；</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000000"/>
          <w:spacing w:val="0"/>
          <w:kern w:val="0"/>
          <w:sz w:val="32"/>
          <w:szCs w:val="32"/>
          <w:highlight w:val="none"/>
          <w:lang w:val="en-US" w:eastAsia="zh-CN" w:bidi="ar-SA"/>
        </w:rPr>
      </w:pPr>
      <w:r>
        <w:rPr>
          <w:rFonts w:hint="eastAsia" w:ascii="仿宋_GB2312" w:hAnsi="仿宋_GB2312" w:eastAsia="仿宋_GB2312" w:cs="仿宋_GB2312"/>
          <w:snapToGrid w:val="0"/>
          <w:color w:val="000000"/>
          <w:spacing w:val="0"/>
          <w:kern w:val="0"/>
          <w:sz w:val="32"/>
          <w:szCs w:val="32"/>
          <w:highlight w:val="none"/>
          <w:lang w:val="en-US" w:eastAsia="zh-CN" w:bidi="ar-SA"/>
        </w:rPr>
        <w:t>（四）建立食品安全追溯体系，有效实施食品安全信息追溯管理，且追溯信息可供公众查询的；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000000"/>
          <w:spacing w:val="-6"/>
          <w:kern w:val="0"/>
          <w:sz w:val="32"/>
          <w:szCs w:val="32"/>
          <w:highlight w:val="none"/>
          <w:lang w:val="en-US" w:eastAsia="zh-CN" w:bidi="ar-SA"/>
        </w:rPr>
      </w:pPr>
      <w:r>
        <w:rPr>
          <w:rFonts w:hint="eastAsia" w:ascii="仿宋_GB2312" w:hAnsi="仿宋_GB2312" w:eastAsia="仿宋_GB2312" w:cs="仿宋_GB2312"/>
          <w:snapToGrid w:val="0"/>
          <w:color w:val="000000"/>
          <w:spacing w:val="0"/>
          <w:kern w:val="0"/>
          <w:sz w:val="32"/>
          <w:szCs w:val="32"/>
          <w:highlight w:val="none"/>
          <w:lang w:val="en-US" w:eastAsia="zh-CN" w:bidi="ar-SA"/>
        </w:rPr>
        <w:t>（五）</w:t>
      </w:r>
      <w:r>
        <w:rPr>
          <w:rFonts w:hint="eastAsia" w:ascii="仿宋_GB2312" w:hAnsi="仿宋_GB2312" w:eastAsia="仿宋_GB2312" w:cs="仿宋_GB2312"/>
          <w:snapToGrid w:val="0"/>
          <w:color w:val="000000"/>
          <w:spacing w:val="-6"/>
          <w:kern w:val="0"/>
          <w:sz w:val="32"/>
          <w:szCs w:val="32"/>
          <w:highlight w:val="none"/>
          <w:lang w:val="en-US" w:eastAsia="zh-CN" w:bidi="ar-SA"/>
        </w:rPr>
        <w:t>实现食品生产经营制作过程全部可视化且全面公开的；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（六）获得科技型企业、高新技术企业、科技型中小企业或专精特新企业认定的；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（七）食品安全管理经验被设区市级以上市场监管部门认可并推广的；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（八）非高风险食品类别生产企业或食品经营者购买食品安全责任保险的；</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（九）其他可以调整的情形。</w:t>
      </w:r>
    </w:p>
    <w:p>
      <w:pPr>
        <w:keepNext w:val="0"/>
        <w:keepLines w:val="0"/>
        <w:pageBreakBefore w:val="0"/>
        <w:widowControl w:val="0"/>
        <w:tabs>
          <w:tab w:val="left" w:pos="790"/>
          <w:tab w:val="left" w:pos="1264"/>
        </w:tabs>
        <w:kinsoku/>
        <w:wordWrap/>
        <w:overflowPunct w:val="0"/>
        <w:topLinePunct w:val="0"/>
        <w:autoSpaceDE/>
        <w:autoSpaceDN/>
        <w:bidi w:val="0"/>
        <w:adjustRightInd w:val="0"/>
        <w:snapToGrid w:val="0"/>
        <w:spacing w:line="576" w:lineRule="exact"/>
        <w:ind w:firstLine="624"/>
        <w:jc w:val="both"/>
        <w:textAlignment w:val="auto"/>
        <w:outlineLvl w:val="9"/>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pPr>
      <w:r>
        <w:rPr>
          <w:rFonts w:hint="eastAsia" w:ascii="黑体" w:hAnsi="黑体" w:eastAsia="黑体" w:cs="黑体"/>
          <w:snapToGrid w:val="0"/>
          <w:color w:val="auto"/>
          <w:spacing w:val="0"/>
          <w:kern w:val="0"/>
          <w:sz w:val="32"/>
          <w:szCs w:val="32"/>
          <w:highlight w:val="none"/>
          <w:lang w:val="en-US" w:eastAsia="zh-CN"/>
        </w:rPr>
        <w:t>第十九条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 xml:space="preserve">  本规定所提第十六条、十七条、十八条情形指食品生产经营者食品安全信用风险等级评定之日前十二个月内存在的情形（另行规定的除外）。</w:t>
      </w:r>
    </w:p>
    <w:p>
      <w:pPr>
        <w:keepNext w:val="0"/>
        <w:keepLines w:val="0"/>
        <w:pageBreakBefore w:val="0"/>
        <w:widowControl w:val="0"/>
        <w:tabs>
          <w:tab w:val="left" w:pos="790"/>
          <w:tab w:val="left" w:pos="1264"/>
        </w:tabs>
        <w:kinsoku/>
        <w:wordWrap/>
        <w:overflowPunct w:val="0"/>
        <w:topLinePunct w:val="0"/>
        <w:autoSpaceDE/>
        <w:autoSpaceDN/>
        <w:bidi w:val="0"/>
        <w:adjustRightInd w:val="0"/>
        <w:snapToGrid w:val="0"/>
        <w:spacing w:line="576" w:lineRule="exact"/>
        <w:ind w:firstLine="624"/>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第二十条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 xml:space="preserve">  </w:t>
      </w:r>
      <w:r>
        <w:rPr>
          <w:rFonts w:hint="eastAsia" w:ascii="仿宋_GB2312" w:hAnsi="仿宋_GB2312" w:eastAsia="仿宋_GB2312" w:cs="仿宋_GB2312"/>
          <w:snapToGrid w:val="0"/>
          <w:color w:val="auto"/>
          <w:spacing w:val="0"/>
          <w:kern w:val="0"/>
          <w:sz w:val="32"/>
          <w:szCs w:val="32"/>
          <w:highlight w:val="none"/>
          <w:lang w:eastAsia="zh-CN"/>
        </w:rPr>
        <w:t>市场监督管理部门应当采用信息化方式开展食品</w:t>
      </w:r>
      <w:r>
        <w:rPr>
          <w:rFonts w:hint="eastAsia" w:ascii="仿宋_GB2312" w:hAnsi="仿宋_GB2312" w:eastAsia="仿宋_GB2312" w:cs="仿宋_GB2312"/>
          <w:snapToGrid w:val="0"/>
          <w:color w:val="auto"/>
          <w:spacing w:val="0"/>
          <w:kern w:val="0"/>
          <w:sz w:val="32"/>
          <w:szCs w:val="32"/>
          <w:highlight w:val="none"/>
          <w:lang w:val="en-US" w:eastAsia="zh-CN"/>
        </w:rPr>
        <w:t>生产经营者信用</w:t>
      </w:r>
      <w:r>
        <w:rPr>
          <w:rFonts w:hint="eastAsia" w:ascii="仿宋_GB2312" w:hAnsi="仿宋_GB2312" w:eastAsia="仿宋_GB2312" w:cs="仿宋_GB2312"/>
          <w:snapToGrid w:val="0"/>
          <w:color w:val="auto"/>
          <w:spacing w:val="0"/>
          <w:kern w:val="0"/>
          <w:sz w:val="32"/>
          <w:szCs w:val="32"/>
          <w:highlight w:val="none"/>
          <w:lang w:eastAsia="zh-CN"/>
        </w:rPr>
        <w:t>风险分级管理工作，</w:t>
      </w:r>
      <w:r>
        <w:rPr>
          <w:rFonts w:hint="eastAsia" w:ascii="仿宋_GB2312" w:hAnsi="仿宋_GB2312" w:eastAsia="仿宋_GB2312" w:cs="仿宋_GB2312"/>
          <w:snapToGrid w:val="0"/>
          <w:color w:val="auto"/>
          <w:spacing w:val="0"/>
          <w:kern w:val="0"/>
          <w:sz w:val="32"/>
          <w:szCs w:val="32"/>
          <w:highlight w:val="none"/>
        </w:rPr>
        <w:t>按照“谁许可谁录入”“谁检查谁录入”原则，在</w:t>
      </w:r>
      <w:r>
        <w:rPr>
          <w:rFonts w:hint="eastAsia" w:ascii="仿宋_GB2312" w:hAnsi="仿宋_GB2312" w:eastAsia="仿宋_GB2312" w:cs="仿宋_GB2312"/>
          <w:snapToGrid w:val="0"/>
          <w:color w:val="auto"/>
          <w:spacing w:val="0"/>
          <w:kern w:val="0"/>
          <w:sz w:val="32"/>
          <w:szCs w:val="32"/>
          <w:highlight w:val="none"/>
          <w:lang w:val="en-US" w:eastAsia="zh-CN"/>
        </w:rPr>
        <w:t>5个工作日内将采集到的食品安全信用风险因素信息或监督检查数据录入市场监管“智慧应用一体化”平台信息系统</w:t>
      </w:r>
      <w:r>
        <w:rPr>
          <w:rFonts w:hint="eastAsia" w:ascii="仿宋_GB2312" w:hAnsi="仿宋_GB2312" w:eastAsia="仿宋_GB2312" w:cs="仿宋_GB2312"/>
          <w:strike w:val="0"/>
          <w:dstrike w:val="0"/>
          <w:snapToGrid w:val="0"/>
          <w:color w:val="auto"/>
          <w:spacing w:val="0"/>
          <w:kern w:val="0"/>
          <w:sz w:val="32"/>
          <w:szCs w:val="32"/>
          <w:highlight w:val="none"/>
          <w:lang w:val="en-US" w:eastAsia="zh-CN"/>
        </w:rPr>
        <w:t>，生成</w:t>
      </w:r>
      <w:r>
        <w:rPr>
          <w:rFonts w:hint="eastAsia" w:ascii="仿宋_GB2312" w:hAnsi="仿宋_GB2312" w:eastAsia="仿宋_GB2312" w:cs="仿宋_GB2312"/>
          <w:snapToGrid w:val="0"/>
          <w:color w:val="auto"/>
          <w:spacing w:val="0"/>
          <w:kern w:val="0"/>
          <w:sz w:val="32"/>
          <w:szCs w:val="32"/>
          <w:highlight w:val="none"/>
          <w:lang w:val="en-US" w:eastAsia="zh-CN"/>
        </w:rPr>
        <w:t>食品生产经营者的食品安全信用</w:t>
      </w:r>
      <w:r>
        <w:rPr>
          <w:rFonts w:hint="eastAsia" w:ascii="仿宋_GB2312" w:hAnsi="仿宋_GB2312" w:eastAsia="仿宋_GB2312" w:cs="仿宋_GB2312"/>
          <w:snapToGrid w:val="0"/>
          <w:color w:val="auto"/>
          <w:spacing w:val="0"/>
          <w:kern w:val="0"/>
          <w:sz w:val="32"/>
          <w:szCs w:val="32"/>
          <w:highlight w:val="none"/>
          <w:lang w:eastAsia="zh-CN"/>
        </w:rPr>
        <w:t>风险分级</w:t>
      </w:r>
      <w:r>
        <w:rPr>
          <w:rFonts w:hint="eastAsia" w:ascii="仿宋_GB2312" w:hAnsi="仿宋_GB2312" w:eastAsia="仿宋_GB2312" w:cs="仿宋_GB2312"/>
          <w:snapToGrid w:val="0"/>
          <w:color w:val="auto"/>
          <w:spacing w:val="0"/>
          <w:kern w:val="0"/>
          <w:sz w:val="32"/>
          <w:szCs w:val="32"/>
          <w:highlight w:val="none"/>
          <w:lang w:val="en-US" w:eastAsia="zh-CN"/>
        </w:rPr>
        <w:t>最新</w:t>
      </w:r>
      <w:r>
        <w:rPr>
          <w:rFonts w:hint="eastAsia" w:ascii="仿宋_GB2312" w:hAnsi="仿宋_GB2312" w:eastAsia="仿宋_GB2312" w:cs="仿宋_GB2312"/>
          <w:snapToGrid w:val="0"/>
          <w:color w:val="auto"/>
          <w:spacing w:val="0"/>
          <w:kern w:val="0"/>
          <w:sz w:val="32"/>
          <w:szCs w:val="32"/>
          <w:highlight w:val="none"/>
          <w:lang w:eastAsia="zh-CN"/>
        </w:rPr>
        <w:t>结果</w:t>
      </w:r>
      <w:r>
        <w:rPr>
          <w:rFonts w:hint="eastAsia" w:ascii="仿宋_GB2312" w:hAnsi="仿宋_GB2312" w:eastAsia="仿宋_GB2312" w:cs="仿宋_GB2312"/>
          <w:snapToGrid w:val="0"/>
          <w:color w:val="auto"/>
          <w:spacing w:val="0"/>
          <w:kern w:val="0"/>
          <w:sz w:val="32"/>
          <w:szCs w:val="32"/>
          <w:highlight w:val="none"/>
          <w:lang w:val="en-US" w:eastAsia="zh-CN"/>
        </w:rPr>
        <w:t>。</w:t>
      </w:r>
    </w:p>
    <w:p>
      <w:pPr>
        <w:keepNext w:val="0"/>
        <w:keepLines w:val="0"/>
        <w:pageBreakBefore w:val="0"/>
        <w:widowControl w:val="0"/>
        <w:tabs>
          <w:tab w:val="left" w:pos="790"/>
          <w:tab w:val="left" w:pos="1264"/>
        </w:tabs>
        <w:kinsoku/>
        <w:wordWrap/>
        <w:overflowPunct w:val="0"/>
        <w:topLinePunct w:val="0"/>
        <w:autoSpaceDE/>
        <w:autoSpaceDN/>
        <w:bidi w:val="0"/>
        <w:adjustRightInd w:val="0"/>
        <w:snapToGrid w:val="0"/>
        <w:spacing w:line="576" w:lineRule="exact"/>
        <w:ind w:firstLine="624"/>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76" w:lineRule="exact"/>
        <w:jc w:val="center"/>
        <w:textAlignment w:val="auto"/>
        <w:rPr>
          <w:rFonts w:hint="eastAsia" w:ascii="黑体" w:hAnsi="黑体" w:eastAsia="黑体" w:cs="黑体"/>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第四章  结果运用</w:t>
      </w:r>
    </w:p>
    <w:p>
      <w:pPr>
        <w:keepNext w:val="0"/>
        <w:keepLines w:val="0"/>
        <w:pageBreakBefore w:val="0"/>
        <w:widowControl w:val="0"/>
        <w:shd w:val="clear" w:color="auto" w:fill="auto"/>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pPr>
    </w:p>
    <w:p>
      <w:pPr>
        <w:keepNext w:val="0"/>
        <w:keepLines w:val="0"/>
        <w:pageBreakBefore w:val="0"/>
        <w:widowControl w:val="0"/>
        <w:shd w:val="clear" w:color="auto" w:fill="auto"/>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第二十一条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 xml:space="preserve">  </w:t>
      </w:r>
      <w:r>
        <w:rPr>
          <w:rFonts w:hint="eastAsia" w:ascii="仿宋_GB2312" w:hAnsi="仿宋_GB2312" w:eastAsia="仿宋_GB2312" w:cs="仿宋_GB2312"/>
          <w:snapToGrid w:val="0"/>
          <w:color w:val="auto"/>
          <w:spacing w:val="0"/>
          <w:kern w:val="0"/>
          <w:sz w:val="32"/>
          <w:szCs w:val="32"/>
          <w:highlight w:val="none"/>
          <w:lang w:val="en-US" w:eastAsia="zh-CN"/>
        </w:rPr>
        <w:t>各级市场监督管理部门要依据食品生产经营者风险等级评定结果，并结合当地监管资源和监管水平，合理确定检查频次、检查重点、检查方式以及其他监管措施，作为制订年度食品安全监督检查计划、抽检监测工作计划的依据。</w:t>
      </w:r>
    </w:p>
    <w:p>
      <w:pPr>
        <w:keepNext w:val="0"/>
        <w:keepLines w:val="0"/>
        <w:pageBreakBefore w:val="0"/>
        <w:widowControl w:val="0"/>
        <w:shd w:val="clear" w:color="auto" w:fill="auto"/>
        <w:kinsoku/>
        <w:wordWrap/>
        <w:overflowPunct w:val="0"/>
        <w:topLinePunct w:val="0"/>
        <w:autoSpaceDE/>
        <w:autoSpaceDN/>
        <w:bidi w:val="0"/>
        <w:adjustRightInd w:val="0"/>
        <w:snapToGrid w:val="0"/>
        <w:spacing w:line="576" w:lineRule="exact"/>
        <w:ind w:firstLine="619"/>
        <w:jc w:val="both"/>
        <w:textAlignment w:val="auto"/>
        <w:rPr>
          <w:rFonts w:hint="eastAsia" w:ascii="仿宋_GB2312" w:hAnsi="仿宋_GB2312" w:eastAsia="仿宋_GB2312" w:cs="仿宋_GB2312"/>
          <w:snapToGrid w:val="0"/>
          <w:color w:val="auto"/>
          <w:spacing w:val="0"/>
          <w:kern w:val="0"/>
          <w:sz w:val="32"/>
          <w:szCs w:val="32"/>
          <w:highlight w:val="none"/>
          <w:lang w:eastAsia="zh-CN"/>
        </w:rPr>
      </w:pPr>
      <w:r>
        <w:rPr>
          <w:rFonts w:hint="eastAsia" w:ascii="黑体" w:hAnsi="黑体" w:eastAsia="黑体" w:cs="黑体"/>
          <w:snapToGrid w:val="0"/>
          <w:color w:val="auto"/>
          <w:spacing w:val="0"/>
          <w:kern w:val="0"/>
          <w:sz w:val="32"/>
          <w:szCs w:val="32"/>
          <w:highlight w:val="none"/>
          <w:lang w:val="en-US" w:eastAsia="zh-CN"/>
        </w:rPr>
        <w:t>第二十二条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 xml:space="preserve">  </w:t>
      </w:r>
      <w:r>
        <w:rPr>
          <w:rFonts w:hint="eastAsia" w:ascii="仿宋_GB2312" w:hAnsi="仿宋_GB2312" w:eastAsia="仿宋_GB2312" w:cs="仿宋_GB2312"/>
          <w:snapToGrid w:val="0"/>
          <w:color w:val="auto"/>
          <w:spacing w:val="0"/>
          <w:kern w:val="0"/>
          <w:sz w:val="32"/>
          <w:szCs w:val="32"/>
          <w:highlight w:val="none"/>
        </w:rPr>
        <w:t>市场监督管理部门</w:t>
      </w:r>
      <w:r>
        <w:rPr>
          <w:rFonts w:hint="eastAsia" w:ascii="仿宋_GB2312" w:hAnsi="仿宋_GB2312" w:eastAsia="仿宋_GB2312" w:cs="仿宋_GB2312"/>
          <w:snapToGrid w:val="0"/>
          <w:color w:val="auto"/>
          <w:spacing w:val="0"/>
          <w:kern w:val="0"/>
          <w:sz w:val="32"/>
          <w:szCs w:val="32"/>
          <w:highlight w:val="none"/>
          <w:lang w:val="en-US" w:eastAsia="zh-CN"/>
        </w:rPr>
        <w:t>应</w:t>
      </w:r>
      <w:r>
        <w:rPr>
          <w:rFonts w:hint="eastAsia" w:ascii="仿宋_GB2312" w:hAnsi="仿宋_GB2312" w:eastAsia="仿宋_GB2312" w:cs="仿宋_GB2312"/>
          <w:snapToGrid w:val="0"/>
          <w:color w:val="auto"/>
          <w:spacing w:val="0"/>
          <w:kern w:val="0"/>
          <w:sz w:val="32"/>
          <w:szCs w:val="32"/>
          <w:highlight w:val="none"/>
        </w:rPr>
        <w:t>根据食品生产</w:t>
      </w:r>
      <w:r>
        <w:rPr>
          <w:rFonts w:hint="eastAsia" w:ascii="仿宋_GB2312" w:hAnsi="仿宋_GB2312" w:eastAsia="仿宋_GB2312" w:cs="仿宋_GB2312"/>
          <w:snapToGrid w:val="0"/>
          <w:color w:val="auto"/>
          <w:spacing w:val="0"/>
          <w:kern w:val="0"/>
          <w:sz w:val="32"/>
          <w:szCs w:val="32"/>
          <w:highlight w:val="none"/>
          <w:lang w:val="en-US" w:eastAsia="zh-CN"/>
        </w:rPr>
        <w:t>经营者</w:t>
      </w:r>
      <w:r>
        <w:rPr>
          <w:rFonts w:hint="eastAsia" w:ascii="仿宋_GB2312" w:hAnsi="仿宋_GB2312" w:eastAsia="仿宋_GB2312" w:cs="仿宋_GB2312"/>
          <w:snapToGrid w:val="0"/>
          <w:color w:val="auto"/>
          <w:spacing w:val="0"/>
          <w:kern w:val="0"/>
          <w:sz w:val="32"/>
          <w:szCs w:val="32"/>
          <w:highlight w:val="none"/>
        </w:rPr>
        <w:t>风险等级划分结果</w:t>
      </w:r>
      <w:r>
        <w:rPr>
          <w:rFonts w:hint="eastAsia" w:ascii="仿宋_GB2312" w:hAnsi="仿宋_GB2312" w:eastAsia="仿宋_GB2312" w:cs="仿宋_GB2312"/>
          <w:snapToGrid w:val="0"/>
          <w:color w:val="auto"/>
          <w:spacing w:val="0"/>
          <w:kern w:val="0"/>
          <w:sz w:val="32"/>
          <w:szCs w:val="32"/>
          <w:highlight w:val="none"/>
          <w:lang w:eastAsia="zh-CN"/>
        </w:rPr>
        <w:t>，</w:t>
      </w:r>
      <w:r>
        <w:rPr>
          <w:rFonts w:hint="eastAsia" w:ascii="仿宋_GB2312" w:hAnsi="仿宋_GB2312" w:eastAsia="仿宋_GB2312" w:cs="仿宋_GB2312"/>
          <w:snapToGrid w:val="0"/>
          <w:color w:val="auto"/>
          <w:spacing w:val="0"/>
          <w:kern w:val="0"/>
          <w:sz w:val="32"/>
          <w:szCs w:val="32"/>
          <w:highlight w:val="none"/>
        </w:rPr>
        <w:t>对较高风险生产</w:t>
      </w:r>
      <w:r>
        <w:rPr>
          <w:rFonts w:hint="eastAsia" w:ascii="仿宋_GB2312" w:hAnsi="仿宋_GB2312" w:eastAsia="仿宋_GB2312" w:cs="仿宋_GB2312"/>
          <w:snapToGrid w:val="0"/>
          <w:color w:val="auto"/>
          <w:spacing w:val="0"/>
          <w:kern w:val="0"/>
          <w:sz w:val="32"/>
          <w:szCs w:val="32"/>
          <w:highlight w:val="none"/>
          <w:lang w:val="en-US" w:eastAsia="zh-CN"/>
        </w:rPr>
        <w:t>经营</w:t>
      </w:r>
      <w:r>
        <w:rPr>
          <w:rFonts w:hint="eastAsia" w:ascii="仿宋_GB2312" w:hAnsi="仿宋_GB2312" w:eastAsia="仿宋_GB2312" w:cs="仿宋_GB2312"/>
          <w:snapToGrid w:val="0"/>
          <w:color w:val="auto"/>
          <w:spacing w:val="0"/>
          <w:kern w:val="0"/>
          <w:sz w:val="32"/>
          <w:szCs w:val="32"/>
          <w:highlight w:val="none"/>
        </w:rPr>
        <w:t>者的监管优先于较低风险生产</w:t>
      </w:r>
      <w:r>
        <w:rPr>
          <w:rFonts w:hint="eastAsia" w:ascii="仿宋_GB2312" w:hAnsi="仿宋_GB2312" w:eastAsia="仿宋_GB2312" w:cs="仿宋_GB2312"/>
          <w:snapToGrid w:val="0"/>
          <w:color w:val="auto"/>
          <w:spacing w:val="0"/>
          <w:kern w:val="0"/>
          <w:sz w:val="32"/>
          <w:szCs w:val="32"/>
          <w:highlight w:val="none"/>
          <w:lang w:val="en-US" w:eastAsia="zh-CN"/>
        </w:rPr>
        <w:t>经营</w:t>
      </w:r>
      <w:r>
        <w:rPr>
          <w:rFonts w:hint="eastAsia" w:ascii="仿宋_GB2312" w:hAnsi="仿宋_GB2312" w:eastAsia="仿宋_GB2312" w:cs="仿宋_GB2312"/>
          <w:snapToGrid w:val="0"/>
          <w:color w:val="auto"/>
          <w:spacing w:val="0"/>
          <w:kern w:val="0"/>
          <w:sz w:val="32"/>
          <w:szCs w:val="32"/>
          <w:highlight w:val="none"/>
        </w:rPr>
        <w:t>者的监管，实现监管资源的科学配置和有效利用。</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（一）对风险等级为A级的食品生产经营者，每两年至少监督检查一次；</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（二）对风险等级为B级的食品生产经营者，每年至少监督检查一次；</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（三）对风险等级为C级的食品生产经营者，每年至少监督检查二次；</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（四）对风险等级为D级的食品生产经营者，每年至少监督检查三次。</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第二十三条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t xml:space="preserve"> </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 基于食品生产经营业态、规模大小、食品类别等，为强化食品安全风险管控，对中小型食品销售连锁企业总部，每年至少监督检查二次。对以下几类食品生产经营者，每年至少监督检查三次：</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（一）特殊医学用途配方食品、婴幼儿配方食品、保健食品、特殊膳食食品等四类食品生产企业；</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（二）学校食堂、中央厨房、集体用餐配送单位；</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（三）食用农产品批发市场；</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（四）学校及校园周边食品经营者；</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（五）大型食品销售连锁企业总部；</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（六）学校食堂大宗食材销售者。</w:t>
      </w:r>
    </w:p>
    <w:p>
      <w:pPr>
        <w:keepNext w:val="0"/>
        <w:keepLines w:val="0"/>
        <w:pageBreakBefore w:val="0"/>
        <w:widowControl w:val="0"/>
        <w:shd w:val="clear" w:color="auto" w:fill="auto"/>
        <w:kinsoku/>
        <w:wordWrap/>
        <w:overflowPunct w:val="0"/>
        <w:topLinePunct w:val="0"/>
        <w:autoSpaceDE/>
        <w:autoSpaceDN/>
        <w:bidi w:val="0"/>
        <w:adjustRightInd w:val="0"/>
        <w:snapToGrid w:val="0"/>
        <w:spacing w:line="576" w:lineRule="exact"/>
        <w:ind w:firstLine="619"/>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仿宋_GB2312" w:hAnsi="仿宋_GB2312" w:eastAsia="仿宋_GB2312" w:cs="仿宋_GB2312"/>
          <w:snapToGrid w:val="0"/>
          <w:color w:val="auto"/>
          <w:spacing w:val="0"/>
          <w:kern w:val="0"/>
          <w:sz w:val="32"/>
          <w:szCs w:val="32"/>
          <w:highlight w:val="none"/>
          <w:lang w:val="en-US" w:eastAsia="zh-CN"/>
        </w:rPr>
        <w:t>大型食品销售连锁企业总部、婴幼儿配方乳粉、特殊医学用途配方食品生产企业、保健食品生产企业、集体用餐配送单位等市场监管部门要求实施体系检查的食品生产经营单位，依照相关规定执行，相关检查计入规定监督检查频次。</w:t>
      </w:r>
    </w:p>
    <w:p>
      <w:pPr>
        <w:keepNext w:val="0"/>
        <w:keepLines w:val="0"/>
        <w:pageBreakBefore w:val="0"/>
        <w:widowControl w:val="0"/>
        <w:shd w:val="clear" w:color="auto" w:fill="auto"/>
        <w:kinsoku/>
        <w:wordWrap/>
        <w:overflowPunct w:val="0"/>
        <w:topLinePunct w:val="0"/>
        <w:autoSpaceDE/>
        <w:autoSpaceDN/>
        <w:bidi w:val="0"/>
        <w:adjustRightInd w:val="0"/>
        <w:snapToGrid w:val="0"/>
        <w:spacing w:line="576" w:lineRule="exact"/>
        <w:ind w:firstLine="619"/>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仿宋_GB2312" w:hAnsi="仿宋_GB2312" w:eastAsia="仿宋_GB2312" w:cs="仿宋_GB2312"/>
          <w:snapToGrid w:val="0"/>
          <w:color w:val="auto"/>
          <w:spacing w:val="0"/>
          <w:kern w:val="0"/>
          <w:sz w:val="32"/>
          <w:szCs w:val="32"/>
          <w:highlight w:val="none"/>
          <w:lang w:val="en-US" w:eastAsia="zh-CN"/>
        </w:rPr>
        <w:t>该条所列食品生产经营者不适用第二十二条规定。</w:t>
      </w:r>
    </w:p>
    <w:p>
      <w:pPr>
        <w:keepNext w:val="0"/>
        <w:keepLines w:val="0"/>
        <w:pageBreakBefore w:val="0"/>
        <w:widowControl w:val="0"/>
        <w:shd w:val="clear" w:color="auto" w:fill="auto"/>
        <w:kinsoku/>
        <w:wordWrap/>
        <w:overflowPunct w:val="0"/>
        <w:topLinePunct w:val="0"/>
        <w:autoSpaceDE/>
        <w:autoSpaceDN/>
        <w:bidi w:val="0"/>
        <w:adjustRightInd w:val="0"/>
        <w:snapToGrid w:val="0"/>
        <w:spacing w:line="576" w:lineRule="exact"/>
        <w:ind w:firstLine="619"/>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第二十四条</w:t>
      </w:r>
      <w:r>
        <w:rPr>
          <w:rFonts w:hint="eastAsia" w:ascii="仿宋_GB2312" w:hAnsi="仿宋_GB2312" w:eastAsia="仿宋_GB2312" w:cs="仿宋_GB2312"/>
          <w:snapToGrid w:val="0"/>
          <w:color w:val="auto"/>
          <w:spacing w:val="0"/>
          <w:kern w:val="0"/>
          <w:sz w:val="32"/>
          <w:szCs w:val="32"/>
          <w:highlight w:val="none"/>
          <w:lang w:val="en-US" w:eastAsia="zh-CN"/>
        </w:rPr>
        <w:t xml:space="preserve">  对风险等级为A级、B级的食品生产经营者可以实施以下激励措施：</w:t>
      </w:r>
    </w:p>
    <w:p>
      <w:pPr>
        <w:keepNext w:val="0"/>
        <w:keepLines w:val="0"/>
        <w:pageBreakBefore w:val="0"/>
        <w:widowControl w:val="0"/>
        <w:numPr>
          <w:ilvl w:val="0"/>
          <w:numId w:val="2"/>
        </w:numPr>
        <w:kinsoku/>
        <w:wordWrap/>
        <w:overflowPunct w:val="0"/>
        <w:topLinePunct w:val="0"/>
        <w:autoSpaceDE/>
        <w:autoSpaceDN/>
        <w:bidi w:val="0"/>
        <w:adjustRightInd w:val="0"/>
        <w:snapToGrid w:val="0"/>
        <w:spacing w:before="0" w:after="0" w:line="576" w:lineRule="exact"/>
        <w:ind w:firstLine="669" w:firstLineChars="0"/>
        <w:jc w:val="both"/>
        <w:textAlignment w:val="auto"/>
        <w:rPr>
          <w:rFonts w:hint="eastAsia" w:ascii="仿宋_GB2312" w:hAnsi="仿宋_GB2312" w:eastAsia="仿宋_GB2312" w:cs="仿宋_GB2312"/>
          <w:snapToGrid w:val="0"/>
          <w:color w:val="auto"/>
          <w:spacing w:val="-6"/>
          <w:kern w:val="0"/>
          <w:sz w:val="32"/>
          <w:szCs w:val="32"/>
          <w:highlight w:val="none"/>
          <w:lang w:val="en-US" w:eastAsia="zh-CN" w:bidi="ar-SA"/>
        </w:rPr>
      </w:pPr>
      <w:r>
        <w:rPr>
          <w:rFonts w:hint="eastAsia" w:ascii="仿宋_GB2312" w:hAnsi="仿宋_GB2312" w:eastAsia="仿宋_GB2312" w:cs="仿宋_GB2312"/>
          <w:snapToGrid w:val="0"/>
          <w:color w:val="auto"/>
          <w:spacing w:val="-6"/>
          <w:kern w:val="0"/>
          <w:sz w:val="32"/>
          <w:szCs w:val="32"/>
          <w:highlight w:val="none"/>
          <w:lang w:val="en-US" w:eastAsia="zh-CN" w:bidi="ar-SA"/>
        </w:rPr>
        <w:t>在日常监管中，有针对性地降低监督抽检批次和频次；</w:t>
      </w:r>
    </w:p>
    <w:p>
      <w:pPr>
        <w:keepNext w:val="0"/>
        <w:keepLines w:val="0"/>
        <w:pageBreakBefore w:val="0"/>
        <w:widowControl w:val="0"/>
        <w:numPr>
          <w:ilvl w:val="0"/>
          <w:numId w:val="2"/>
        </w:numPr>
        <w:kinsoku/>
        <w:wordWrap/>
        <w:overflowPunct w:val="0"/>
        <w:topLinePunct w:val="0"/>
        <w:autoSpaceDE/>
        <w:autoSpaceDN/>
        <w:bidi w:val="0"/>
        <w:adjustRightInd w:val="0"/>
        <w:snapToGrid w:val="0"/>
        <w:spacing w:before="0" w:after="0" w:line="576" w:lineRule="exact"/>
        <w:ind w:firstLine="669" w:firstLineChars="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除有因检查或列入市场监管部门特定检查任务的外，监督检查无需采用飞行检查、体系检查或异地交叉检查方式开展，完成规定监督检查频次后，不再新增监督检查次数；</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69" w:firstLineChars="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（三）对食品安全信用优秀典型，通过政务门户网站、“信用福建”网站、新闻媒体等多种渠道予以宣传；</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69" w:firstLineChars="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（四）支持符合条件的食品企业参评政府质量奖、标准贡献奖、国家知识产权优势企业、守合同重信用企业等；</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69" w:firstLineChars="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（五）其他激励措施。</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 xml:space="preserve">第二十五条 </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t xml:space="preserve"> </w:t>
      </w:r>
      <w:r>
        <w:rPr>
          <w:rFonts w:hint="eastAsia" w:ascii="仿宋_GB2312" w:hAnsi="仿宋_GB2312" w:eastAsia="仿宋_GB2312" w:cs="仿宋_GB2312"/>
          <w:snapToGrid w:val="0"/>
          <w:color w:val="auto"/>
          <w:spacing w:val="0"/>
          <w:kern w:val="0"/>
          <w:sz w:val="32"/>
          <w:szCs w:val="32"/>
          <w:highlight w:val="none"/>
          <w:lang w:val="en-US" w:eastAsia="zh-CN" w:bidi="ar-SA"/>
        </w:rPr>
        <w:t>对存在第十七条情形的食品生产经营者应当实施加严措施：</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（一）实施重点监管，有针对性地提高监督检查、监督抽检频次，综合运用各种手段和检查形式，开展专项监督检查；</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（二）每年至少开展一次采用飞行检查、体系检查或异地交叉检查方式的监督检查；</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69" w:firstLineChars="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（三）列为省级、市级市场监管部门“四不两直”检查重点对象；</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69" w:firstLineChars="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（四）失信违法典型通过政务门户网站、“信用福建”网站、新闻媒体等多种渠道进行曝光；</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69" w:firstLineChars="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仿宋_GB2312" w:hAnsi="仿宋_GB2312" w:eastAsia="仿宋_GB2312" w:cs="仿宋_GB2312"/>
          <w:snapToGrid w:val="0"/>
          <w:color w:val="auto"/>
          <w:spacing w:val="0"/>
          <w:kern w:val="0"/>
          <w:sz w:val="32"/>
          <w:szCs w:val="32"/>
          <w:highlight w:val="none"/>
          <w:lang w:val="en-US" w:eastAsia="zh-CN" w:bidi="ar-SA"/>
        </w:rPr>
        <w:t>（五）其他加严监管措施。</w:t>
      </w:r>
    </w:p>
    <w:p>
      <w:pPr>
        <w:keepNext w:val="0"/>
        <w:keepLines w:val="0"/>
        <w:pageBreakBefore w:val="0"/>
        <w:widowControl w:val="0"/>
        <w:tabs>
          <w:tab w:val="left" w:pos="790"/>
          <w:tab w:val="left" w:pos="1264"/>
        </w:tabs>
        <w:kinsoku/>
        <w:wordWrap/>
        <w:overflowPunct w:val="0"/>
        <w:topLinePunct w:val="0"/>
        <w:autoSpaceDE/>
        <w:autoSpaceDN/>
        <w:bidi w:val="0"/>
        <w:adjustRightInd w:val="0"/>
        <w:snapToGrid w:val="0"/>
        <w:spacing w:line="576" w:lineRule="exact"/>
        <w:ind w:firstLine="624"/>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 xml:space="preserve">第二十六条  </w:t>
      </w:r>
      <w:r>
        <w:rPr>
          <w:rFonts w:hint="eastAsia" w:ascii="仿宋_GB2312" w:hAnsi="仿宋_GB2312" w:eastAsia="仿宋_GB2312" w:cs="仿宋_GB2312"/>
          <w:snapToGrid w:val="0"/>
          <w:color w:val="auto"/>
          <w:spacing w:val="0"/>
          <w:kern w:val="0"/>
          <w:sz w:val="32"/>
          <w:szCs w:val="32"/>
          <w:highlight w:val="none"/>
          <w:shd w:val="clear" w:color="auto" w:fill="auto"/>
          <w:lang w:val="en-US" w:eastAsia="zh-CN" w:bidi="ar"/>
        </w:rPr>
        <w:t>各级市场监督管理部门应当定期统计分析辖区食品生产经营者风险分级结果，确定监管的重点区域、重点行业、重点单位。及时排查食品安全风险隐患，在监督检查、监督抽检和风险监测中确定重点单位及产品。对风险分级异常或可能存在区域性食品安全隐患的、</w:t>
      </w:r>
      <w:r>
        <w:rPr>
          <w:rFonts w:hint="eastAsia" w:ascii="仿宋_GB2312" w:hAnsi="仿宋_GB2312" w:eastAsia="仿宋_GB2312" w:cs="仿宋_GB2312"/>
          <w:b w:val="0"/>
          <w:bCs w:val="0"/>
          <w:i w:val="0"/>
          <w:iCs w:val="0"/>
          <w:caps w:val="0"/>
          <w:snapToGrid w:val="0"/>
          <w:color w:val="auto"/>
          <w:spacing w:val="0"/>
          <w:kern w:val="0"/>
          <w:sz w:val="32"/>
          <w:szCs w:val="32"/>
          <w:highlight w:val="none"/>
          <w:shd w:val="clear" w:color="auto" w:fill="auto"/>
          <w:lang w:val="en-US" w:eastAsia="zh-CN" w:bidi="ar"/>
        </w:rPr>
        <w:t>食品安全监管不到位、查处不力或对存在食品安全风险隐患地区整治不力的，应通过</w:t>
      </w:r>
      <w:r>
        <w:rPr>
          <w:rStyle w:val="19"/>
          <w:rFonts w:hint="eastAsia" w:ascii="仿宋_GB2312" w:hAnsi="仿宋_GB2312" w:eastAsia="仿宋_GB2312" w:cs="仿宋_GB2312"/>
          <w:snapToGrid w:val="0"/>
          <w:color w:val="auto"/>
          <w:spacing w:val="0"/>
          <w:kern w:val="0"/>
          <w:sz w:val="32"/>
          <w:szCs w:val="32"/>
          <w:highlight w:val="none"/>
          <w:shd w:val="clear" w:color="auto" w:fill="auto"/>
          <w:lang w:bidi="ar"/>
        </w:rPr>
        <w:t>“三书一函”</w:t>
      </w:r>
      <w:r>
        <w:rPr>
          <w:rStyle w:val="19"/>
          <w:rFonts w:hint="eastAsia" w:ascii="仿宋_GB2312" w:hAnsi="仿宋_GB2312" w:eastAsia="仿宋_GB2312" w:cs="仿宋_GB2312"/>
          <w:snapToGrid w:val="0"/>
          <w:color w:val="auto"/>
          <w:spacing w:val="0"/>
          <w:kern w:val="0"/>
          <w:sz w:val="32"/>
          <w:szCs w:val="32"/>
          <w:highlight w:val="none"/>
          <w:shd w:val="clear" w:color="auto" w:fill="auto"/>
          <w:lang w:val="en-US" w:eastAsia="zh-CN" w:bidi="ar"/>
        </w:rPr>
        <w:t>等方式</w:t>
      </w:r>
      <w:r>
        <w:rPr>
          <w:rStyle w:val="19"/>
          <w:rFonts w:hint="eastAsia" w:ascii="仿宋_GB2312" w:hAnsi="仿宋_GB2312" w:eastAsia="仿宋_GB2312" w:cs="仿宋_GB2312"/>
          <w:snapToGrid w:val="0"/>
          <w:color w:val="auto"/>
          <w:spacing w:val="0"/>
          <w:kern w:val="0"/>
          <w:sz w:val="32"/>
          <w:szCs w:val="32"/>
          <w:highlight w:val="none"/>
          <w:shd w:val="clear" w:color="auto" w:fill="auto"/>
          <w:lang w:bidi="ar"/>
        </w:rPr>
        <w:t>，</w:t>
      </w:r>
      <w:r>
        <w:rPr>
          <w:rStyle w:val="19"/>
          <w:rFonts w:hint="eastAsia" w:ascii="仿宋_GB2312" w:hAnsi="仿宋_GB2312" w:eastAsia="仿宋_GB2312" w:cs="仿宋_GB2312"/>
          <w:snapToGrid w:val="0"/>
          <w:color w:val="auto"/>
          <w:spacing w:val="0"/>
          <w:kern w:val="0"/>
          <w:sz w:val="32"/>
          <w:szCs w:val="32"/>
          <w:highlight w:val="none"/>
          <w:shd w:val="clear" w:color="auto" w:fill="auto"/>
          <w:lang w:val="en-US" w:eastAsia="zh-CN" w:bidi="ar"/>
        </w:rPr>
        <w:t>督促</w:t>
      </w:r>
      <w:r>
        <w:rPr>
          <w:rStyle w:val="19"/>
          <w:rFonts w:hint="eastAsia" w:ascii="仿宋_GB2312" w:hAnsi="仿宋_GB2312" w:eastAsia="仿宋_GB2312" w:cs="仿宋_GB2312"/>
          <w:snapToGrid w:val="0"/>
          <w:color w:val="auto"/>
          <w:spacing w:val="0"/>
          <w:kern w:val="0"/>
          <w:sz w:val="32"/>
          <w:szCs w:val="32"/>
          <w:highlight w:val="none"/>
          <w:shd w:val="clear" w:color="auto" w:fill="auto"/>
          <w:lang w:bidi="ar"/>
        </w:rPr>
        <w:t>落实属地</w:t>
      </w:r>
      <w:r>
        <w:rPr>
          <w:rStyle w:val="19"/>
          <w:rFonts w:hint="eastAsia" w:ascii="仿宋_GB2312" w:hAnsi="仿宋_GB2312" w:eastAsia="仿宋_GB2312" w:cs="仿宋_GB2312"/>
          <w:snapToGrid w:val="0"/>
          <w:color w:val="auto"/>
          <w:spacing w:val="0"/>
          <w:kern w:val="0"/>
          <w:sz w:val="32"/>
          <w:szCs w:val="32"/>
          <w:highlight w:val="none"/>
          <w:shd w:val="clear" w:color="auto" w:fill="auto"/>
          <w:lang w:val="en-US" w:eastAsia="zh-CN" w:bidi="ar"/>
        </w:rPr>
        <w:t>和监管部门</w:t>
      </w:r>
      <w:r>
        <w:rPr>
          <w:rStyle w:val="19"/>
          <w:rFonts w:hint="eastAsia" w:ascii="仿宋_GB2312" w:hAnsi="仿宋_GB2312" w:eastAsia="仿宋_GB2312" w:cs="仿宋_GB2312"/>
          <w:snapToGrid w:val="0"/>
          <w:color w:val="auto"/>
          <w:spacing w:val="0"/>
          <w:kern w:val="0"/>
          <w:sz w:val="32"/>
          <w:szCs w:val="32"/>
          <w:highlight w:val="none"/>
          <w:shd w:val="clear" w:color="auto" w:fill="auto"/>
          <w:lang w:bidi="ar"/>
        </w:rPr>
        <w:t>管理责任。</w:t>
      </w: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 xml:space="preserve">第二十七条  </w:t>
      </w:r>
      <w:r>
        <w:rPr>
          <w:rFonts w:hint="eastAsia" w:ascii="仿宋_GB2312" w:hAnsi="仿宋_GB2312" w:eastAsia="仿宋_GB2312" w:cs="仿宋_GB2312"/>
          <w:snapToGrid w:val="0"/>
          <w:color w:val="auto"/>
          <w:spacing w:val="0"/>
          <w:kern w:val="0"/>
          <w:sz w:val="32"/>
          <w:szCs w:val="32"/>
          <w:highlight w:val="none"/>
          <w:lang w:val="en-US" w:eastAsia="zh-CN"/>
        </w:rPr>
        <w:t>各级市场监管部门要定期组织</w:t>
      </w:r>
      <w:r>
        <w:rPr>
          <w:rFonts w:hint="eastAsia" w:ascii="仿宋_GB2312" w:hAnsi="仿宋_GB2312" w:eastAsia="仿宋_GB2312" w:cs="仿宋_GB2312"/>
          <w:b w:val="0"/>
          <w:snapToGrid w:val="0"/>
          <w:color w:val="auto"/>
          <w:spacing w:val="0"/>
          <w:kern w:val="0"/>
          <w:sz w:val="32"/>
          <w:szCs w:val="32"/>
          <w:highlight w:val="none"/>
          <w:lang w:val="en-US" w:eastAsia="zh-CN"/>
        </w:rPr>
        <w:t>对下级风险分级管理工作和监督检查情况等</w:t>
      </w:r>
      <w:r>
        <w:rPr>
          <w:rFonts w:hint="eastAsia" w:ascii="仿宋_GB2312" w:hAnsi="仿宋_GB2312" w:eastAsia="仿宋_GB2312" w:cs="仿宋_GB2312"/>
          <w:snapToGrid w:val="0"/>
          <w:color w:val="auto"/>
          <w:spacing w:val="0"/>
          <w:kern w:val="0"/>
          <w:sz w:val="32"/>
          <w:szCs w:val="32"/>
          <w:highlight w:val="none"/>
          <w:lang w:val="en-US" w:eastAsia="zh-CN"/>
        </w:rPr>
        <w:t>开展质量跟踪评价，鼓励引入第三方机构，</w:t>
      </w:r>
      <w:r>
        <w:rPr>
          <w:rFonts w:hint="eastAsia" w:ascii="仿宋_GB2312" w:hAnsi="仿宋_GB2312" w:eastAsia="仿宋_GB2312" w:cs="仿宋_GB2312"/>
          <w:snapToGrid w:val="0"/>
          <w:color w:val="auto"/>
          <w:spacing w:val="0"/>
          <w:kern w:val="0"/>
          <w:sz w:val="32"/>
          <w:szCs w:val="32"/>
          <w:highlight w:val="none"/>
        </w:rPr>
        <w:t>科学评价</w:t>
      </w:r>
      <w:r>
        <w:rPr>
          <w:rFonts w:hint="eastAsia" w:ascii="仿宋_GB2312" w:hAnsi="仿宋_GB2312" w:eastAsia="仿宋_GB2312" w:cs="仿宋_GB2312"/>
          <w:snapToGrid w:val="0"/>
          <w:color w:val="auto"/>
          <w:spacing w:val="0"/>
          <w:kern w:val="0"/>
          <w:sz w:val="32"/>
          <w:szCs w:val="32"/>
          <w:highlight w:val="none"/>
          <w:lang w:val="en-US" w:eastAsia="zh-CN"/>
        </w:rPr>
        <w:t>风险分级管理和监督</w:t>
      </w:r>
      <w:r>
        <w:rPr>
          <w:rFonts w:hint="eastAsia" w:ascii="仿宋_GB2312" w:hAnsi="仿宋_GB2312" w:eastAsia="仿宋_GB2312" w:cs="仿宋_GB2312"/>
          <w:snapToGrid w:val="0"/>
          <w:color w:val="auto"/>
          <w:spacing w:val="0"/>
          <w:kern w:val="0"/>
          <w:sz w:val="32"/>
          <w:szCs w:val="32"/>
          <w:highlight w:val="none"/>
        </w:rPr>
        <w:t>检查工作的合规性、完整性、精准性，</w:t>
      </w:r>
      <w:r>
        <w:rPr>
          <w:rFonts w:hint="eastAsia" w:ascii="仿宋_GB2312" w:hAnsi="仿宋_GB2312" w:eastAsia="仿宋_GB2312" w:cs="仿宋_GB2312"/>
          <w:snapToGrid w:val="0"/>
          <w:color w:val="auto"/>
          <w:spacing w:val="0"/>
          <w:kern w:val="0"/>
          <w:sz w:val="32"/>
          <w:szCs w:val="32"/>
          <w:highlight w:val="none"/>
          <w:lang w:val="en-US" w:eastAsia="zh-CN"/>
        </w:rPr>
        <w:t>提升风险分级管理工作质量。</w:t>
      </w:r>
    </w:p>
    <w:p>
      <w:pPr>
        <w:keepNext w:val="0"/>
        <w:keepLines w:val="0"/>
        <w:pageBreakBefore w:val="0"/>
        <w:widowControl w:val="0"/>
        <w:tabs>
          <w:tab w:val="left" w:pos="790"/>
          <w:tab w:val="left" w:pos="1264"/>
        </w:tabs>
        <w:kinsoku/>
        <w:wordWrap/>
        <w:overflowPunct w:val="0"/>
        <w:topLinePunct w:val="0"/>
        <w:autoSpaceDE/>
        <w:autoSpaceDN/>
        <w:bidi w:val="0"/>
        <w:adjustRightInd w:val="0"/>
        <w:snapToGrid w:val="0"/>
        <w:spacing w:line="576" w:lineRule="exact"/>
        <w:ind w:firstLine="624"/>
        <w:jc w:val="both"/>
        <w:textAlignment w:val="auto"/>
        <w:outlineLvl w:val="9"/>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第二十八条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 xml:space="preserve">  </w:t>
      </w:r>
      <w:r>
        <w:rPr>
          <w:rFonts w:hint="eastAsia" w:ascii="仿宋_GB2312" w:hAnsi="仿宋_GB2312" w:eastAsia="仿宋_GB2312" w:cs="仿宋_GB2312"/>
          <w:snapToGrid w:val="0"/>
          <w:color w:val="auto"/>
          <w:spacing w:val="0"/>
          <w:kern w:val="0"/>
          <w:sz w:val="32"/>
          <w:szCs w:val="32"/>
          <w:highlight w:val="none"/>
          <w:lang w:val="en-US" w:eastAsia="zh-CN"/>
        </w:rPr>
        <w:t>市场监管人员在风险分级管理工作中不得滥用职权、玩忽职守、徇私舞弊。</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 xml:space="preserve">第二十九条 </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t xml:space="preserve"> </w:t>
      </w:r>
      <w:r>
        <w:rPr>
          <w:rFonts w:hint="eastAsia" w:ascii="仿宋_GB2312" w:hAnsi="仿宋_GB2312" w:eastAsia="仿宋_GB2312" w:cs="仿宋_GB2312"/>
          <w:snapToGrid w:val="0"/>
          <w:color w:val="auto"/>
          <w:spacing w:val="0"/>
          <w:kern w:val="0"/>
          <w:sz w:val="32"/>
          <w:szCs w:val="32"/>
          <w:highlight w:val="none"/>
          <w:lang w:val="en-US" w:eastAsia="zh-CN" w:bidi="ar-SA"/>
        </w:rPr>
        <w:t>符合信用信息公开管理要求的食品安全信用风险信息，应当依法公开，公开内容应当明确评定依据、时间、结果及使用范围。</w:t>
      </w: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 xml:space="preserve">第三十条  </w:t>
      </w:r>
      <w:r>
        <w:rPr>
          <w:rFonts w:hint="eastAsia" w:ascii="仿宋_GB2312" w:hAnsi="仿宋_GB2312" w:eastAsia="仿宋_GB2312" w:cs="仿宋_GB2312"/>
          <w:snapToGrid w:val="0"/>
          <w:color w:val="auto"/>
          <w:spacing w:val="0"/>
          <w:kern w:val="0"/>
          <w:sz w:val="32"/>
          <w:szCs w:val="32"/>
          <w:highlight w:val="none"/>
          <w:lang w:val="en-US" w:eastAsia="zh-CN"/>
        </w:rPr>
        <w:t>食品生产经营者应当根据风险分级结果，改进和提高生产经营控制水平，加强落实食品安全主体责任。</w:t>
      </w:r>
    </w:p>
    <w:p>
      <w:pPr>
        <w:keepNext w:val="0"/>
        <w:keepLines w:val="0"/>
        <w:pageBreakBefore w:val="0"/>
        <w:widowControl w:val="0"/>
        <w:kinsoku/>
        <w:wordWrap/>
        <w:overflowPunct w:val="0"/>
        <w:topLinePunct w:val="0"/>
        <w:autoSpaceDE/>
        <w:autoSpaceDN/>
        <w:bidi w:val="0"/>
        <w:adjustRightInd w:val="0"/>
        <w:snapToGrid w:val="0"/>
        <w:spacing w:line="576" w:lineRule="exact"/>
        <w:jc w:val="both"/>
        <w:textAlignment w:val="auto"/>
        <w:outlineLvl w:val="0"/>
        <w:rPr>
          <w:rFonts w:hint="eastAsia" w:ascii="仿宋_GB2312" w:hAnsi="仿宋_GB2312" w:eastAsia="仿宋_GB2312" w:cs="仿宋_GB2312"/>
          <w:bCs/>
          <w:snapToGrid w:val="0"/>
          <w:color w:val="auto"/>
          <w:spacing w:val="0"/>
          <w:kern w:val="0"/>
          <w:sz w:val="32"/>
          <w:szCs w:val="32"/>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76" w:lineRule="exact"/>
        <w:jc w:val="center"/>
        <w:textAlignment w:val="auto"/>
        <w:rPr>
          <w:rFonts w:hint="eastAsia" w:ascii="黑体" w:hAnsi="黑体" w:eastAsia="黑体" w:cs="黑体"/>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第五章  附则</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p>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第三十一条</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 </w:t>
      </w:r>
      <w:r>
        <w:rPr>
          <w:rFonts w:hint="eastAsia" w:ascii="仿宋_GB2312" w:hAnsi="仿宋_GB2312" w:eastAsia="仿宋_GB2312" w:cs="仿宋_GB2312"/>
          <w:snapToGrid w:val="0"/>
          <w:spacing w:val="0"/>
          <w:kern w:val="0"/>
          <w:sz w:val="32"/>
          <w:szCs w:val="32"/>
          <w:highlight w:val="none"/>
          <w:lang w:val="en-US" w:eastAsia="zh-CN" w:bidi="ar-SA"/>
        </w:rPr>
        <w:t xml:space="preserve"> 本规范中“有因检查”是指各级市场监管部门针对食品安全监管工作中发现的案件线索、投诉举报、舆情信息、抽检监测问题、风险危害等情形开展的针对性检查。“有因检查”前不得事先告知被检查对象。</w:t>
      </w: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第三十二条</w:t>
      </w:r>
      <w:r>
        <w:rPr>
          <w:rFonts w:hint="eastAsia" w:ascii="仿宋_GB2312" w:hAnsi="仿宋_GB2312" w:eastAsia="仿宋_GB2312" w:cs="仿宋_GB2312"/>
          <w:snapToGrid w:val="0"/>
          <w:color w:val="auto"/>
          <w:spacing w:val="0"/>
          <w:kern w:val="0"/>
          <w:sz w:val="32"/>
          <w:szCs w:val="32"/>
          <w:highlight w:val="none"/>
          <w:lang w:val="en-US" w:eastAsia="zh-CN"/>
        </w:rPr>
        <w:t xml:space="preserve">  本规范中食品生产经营者动态因素量化分值表同时作为本省食品生产经营者日常监督检查要点表使用。   </w:t>
      </w: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pPr>
      <w:r>
        <w:rPr>
          <w:rFonts w:hint="eastAsia" w:ascii="黑体" w:hAnsi="黑体" w:eastAsia="黑体" w:cs="黑体"/>
          <w:snapToGrid w:val="0"/>
          <w:color w:val="auto"/>
          <w:spacing w:val="0"/>
          <w:kern w:val="0"/>
          <w:sz w:val="32"/>
          <w:szCs w:val="32"/>
          <w:highlight w:val="none"/>
          <w:lang w:val="en-US" w:eastAsia="zh-CN"/>
        </w:rPr>
        <w:t>第三十三条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 xml:space="preserve">  </w:t>
      </w:r>
      <w:r>
        <w:rPr>
          <w:rFonts w:hint="eastAsia" w:ascii="仿宋_GB2312" w:hAnsi="仿宋_GB2312" w:eastAsia="仿宋_GB2312" w:cs="仿宋_GB2312"/>
          <w:snapToGrid w:val="0"/>
          <w:color w:val="auto"/>
          <w:spacing w:val="0"/>
          <w:kern w:val="0"/>
          <w:sz w:val="32"/>
          <w:szCs w:val="32"/>
          <w:highlight w:val="none"/>
          <w:lang w:eastAsia="zh-CN"/>
        </w:rPr>
        <w:t>从事对温度、湿度等有特殊要求的食品贮存业务的非食品生产经营者的</w:t>
      </w:r>
      <w:r>
        <w:rPr>
          <w:rFonts w:hint="eastAsia" w:ascii="仿宋_GB2312" w:hAnsi="仿宋_GB2312" w:eastAsia="仿宋_GB2312" w:cs="仿宋_GB2312"/>
          <w:b w:val="0"/>
          <w:bCs w:val="0"/>
          <w:snapToGrid w:val="0"/>
          <w:color w:val="auto"/>
          <w:spacing w:val="0"/>
          <w:kern w:val="0"/>
          <w:sz w:val="32"/>
          <w:szCs w:val="32"/>
          <w:highlight w:val="none"/>
        </w:rPr>
        <w:t>风险分级管理</w:t>
      </w:r>
      <w:r>
        <w:rPr>
          <w:rFonts w:hint="eastAsia" w:ascii="仿宋_GB2312" w:hAnsi="仿宋_GB2312" w:eastAsia="仿宋_GB2312" w:cs="仿宋_GB2312"/>
          <w:b w:val="0"/>
          <w:bCs w:val="0"/>
          <w:snapToGrid w:val="0"/>
          <w:color w:val="auto"/>
          <w:spacing w:val="0"/>
          <w:kern w:val="0"/>
          <w:sz w:val="32"/>
          <w:szCs w:val="32"/>
          <w:highlight w:val="none"/>
          <w:lang w:eastAsia="zh-CN"/>
        </w:rPr>
        <w:t>工作，依照本规范执行</w:t>
      </w:r>
      <w:r>
        <w:rPr>
          <w:rFonts w:hint="eastAsia" w:ascii="仿宋_GB2312" w:hAnsi="仿宋_GB2312" w:eastAsia="仿宋_GB2312" w:cs="仿宋_GB2312"/>
          <w:snapToGrid w:val="0"/>
          <w:color w:val="auto"/>
          <w:spacing w:val="0"/>
          <w:kern w:val="0"/>
          <w:sz w:val="32"/>
          <w:szCs w:val="32"/>
          <w:highlight w:val="none"/>
          <w:lang w:eastAsia="zh-CN"/>
        </w:rPr>
        <w:t>。</w:t>
      </w:r>
      <w:r>
        <w:rPr>
          <w:rFonts w:hint="eastAsia" w:ascii="仿宋_GB2312" w:hAnsi="仿宋_GB2312" w:eastAsia="仿宋_GB2312" w:cs="仿宋_GB2312"/>
          <w:snapToGrid w:val="0"/>
          <w:spacing w:val="0"/>
          <w:kern w:val="0"/>
          <w:sz w:val="32"/>
          <w:szCs w:val="32"/>
          <w:highlight w:val="none"/>
        </w:rPr>
        <w:t>食品生产加工小作坊</w:t>
      </w:r>
      <w:r>
        <w:rPr>
          <w:rFonts w:hint="eastAsia" w:ascii="仿宋_GB2312" w:hAnsi="仿宋_GB2312" w:eastAsia="仿宋_GB2312" w:cs="仿宋_GB2312"/>
          <w:snapToGrid w:val="0"/>
          <w:spacing w:val="0"/>
          <w:kern w:val="0"/>
          <w:sz w:val="32"/>
          <w:szCs w:val="32"/>
          <w:highlight w:val="none"/>
          <w:lang w:eastAsia="zh-CN"/>
        </w:rPr>
        <w:t>、</w:t>
      </w:r>
      <w:r>
        <w:rPr>
          <w:rFonts w:hint="eastAsia" w:ascii="仿宋_GB2312" w:hAnsi="仿宋_GB2312" w:eastAsia="仿宋_GB2312" w:cs="仿宋_GB2312"/>
          <w:snapToGrid w:val="0"/>
          <w:spacing w:val="0"/>
          <w:kern w:val="0"/>
          <w:sz w:val="32"/>
          <w:szCs w:val="32"/>
          <w:highlight w:val="none"/>
        </w:rPr>
        <w:t>食品摊贩</w:t>
      </w:r>
      <w:r>
        <w:rPr>
          <w:rFonts w:hint="eastAsia" w:ascii="仿宋_GB2312" w:hAnsi="仿宋_GB2312" w:eastAsia="仿宋_GB2312" w:cs="仿宋_GB2312"/>
          <w:snapToGrid w:val="0"/>
          <w:spacing w:val="0"/>
          <w:kern w:val="0"/>
          <w:sz w:val="32"/>
          <w:szCs w:val="32"/>
          <w:highlight w:val="none"/>
          <w:lang w:eastAsia="zh-CN"/>
        </w:rPr>
        <w:t>、</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小餐饮可参考本规范执行。</w:t>
      </w:r>
    </w:p>
    <w:p>
      <w:pPr>
        <w:keepNext w:val="0"/>
        <w:keepLines w:val="0"/>
        <w:pageBreakBefore w:val="0"/>
        <w:widowControl w:val="0"/>
        <w:kinsoku/>
        <w:wordWrap/>
        <w:overflowPunct w:val="0"/>
        <w:topLinePunct w:val="0"/>
        <w:autoSpaceDE/>
        <w:autoSpaceDN/>
        <w:bidi w:val="0"/>
        <w:adjustRightInd w:val="0"/>
        <w:snapToGrid w:val="0"/>
        <w:spacing w:before="0" w:after="0"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bidi="ar-SA"/>
        </w:rPr>
      </w:pPr>
      <w:r>
        <w:rPr>
          <w:rFonts w:hint="eastAsia" w:ascii="黑体" w:hAnsi="黑体" w:eastAsia="黑体" w:cs="黑体"/>
          <w:snapToGrid w:val="0"/>
          <w:color w:val="auto"/>
          <w:spacing w:val="0"/>
          <w:kern w:val="0"/>
          <w:sz w:val="32"/>
          <w:szCs w:val="32"/>
          <w:highlight w:val="none"/>
          <w:lang w:val="en-US" w:eastAsia="zh-CN" w:bidi="ar-SA"/>
        </w:rPr>
        <w:t>第三十四条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bidi="ar-SA"/>
        </w:rPr>
        <w:t xml:space="preserve">  </w:t>
      </w:r>
      <w:r>
        <w:rPr>
          <w:rFonts w:hint="eastAsia" w:ascii="仿宋_GB2312" w:hAnsi="仿宋_GB2312" w:eastAsia="仿宋_GB2312" w:cs="仿宋_GB2312"/>
          <w:snapToGrid w:val="0"/>
          <w:color w:val="auto"/>
          <w:spacing w:val="0"/>
          <w:kern w:val="0"/>
          <w:sz w:val="32"/>
          <w:szCs w:val="32"/>
          <w:highlight w:val="none"/>
          <w:lang w:val="en-US" w:eastAsia="zh-CN" w:bidi="ar-SA"/>
        </w:rPr>
        <w:t xml:space="preserve">各级市场监管部门可参照本规范制定本行政区域食品安全信用风险分级管理工作规范，在本行政区域内组织实施，并报省市场监管局备案。 </w:t>
      </w:r>
    </w:p>
    <w:p>
      <w:pPr>
        <w:keepNext w:val="0"/>
        <w:keepLines w:val="0"/>
        <w:pageBreakBefore w:val="0"/>
        <w:widowControl w:val="0"/>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i w:val="0"/>
          <w:caps w:val="0"/>
          <w:snapToGrid w:val="0"/>
          <w:color w:val="auto"/>
          <w:spacing w:val="0"/>
          <w:kern w:val="0"/>
          <w:sz w:val="32"/>
          <w:szCs w:val="32"/>
          <w:highlight w:val="none"/>
          <w:shd w:val="clear" w:color="auto" w:fill="FFFFFF"/>
        </w:rPr>
      </w:pPr>
      <w:r>
        <w:rPr>
          <w:rFonts w:hint="eastAsia" w:ascii="黑体" w:hAnsi="黑体" w:eastAsia="黑体" w:cs="黑体"/>
          <w:snapToGrid w:val="0"/>
          <w:color w:val="auto"/>
          <w:spacing w:val="0"/>
          <w:kern w:val="0"/>
          <w:sz w:val="32"/>
          <w:szCs w:val="32"/>
          <w:highlight w:val="none"/>
          <w:lang w:val="en-US" w:eastAsia="zh-CN"/>
        </w:rPr>
        <w:t>第三十五条</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 xml:space="preserve">  </w:t>
      </w:r>
      <w:r>
        <w:rPr>
          <w:rStyle w:val="8"/>
          <w:rFonts w:hint="eastAsia" w:ascii="仿宋_GB2312" w:hAnsi="仿宋_GB2312" w:eastAsia="仿宋_GB2312" w:cs="仿宋_GB2312"/>
          <w:i w:val="0"/>
          <w:caps w:val="0"/>
          <w:snapToGrid w:val="0"/>
          <w:color w:val="auto"/>
          <w:spacing w:val="0"/>
          <w:kern w:val="0"/>
          <w:sz w:val="32"/>
          <w:szCs w:val="32"/>
          <w:highlight w:val="none"/>
          <w:shd w:val="clear" w:color="auto" w:fill="FFFFFF"/>
        </w:rPr>
        <w:t>法律、法规、规章</w:t>
      </w:r>
      <w:r>
        <w:rPr>
          <w:rFonts w:hint="eastAsia" w:ascii="仿宋_GB2312" w:hAnsi="仿宋_GB2312" w:eastAsia="仿宋_GB2312" w:cs="仿宋_GB2312"/>
          <w:i w:val="0"/>
          <w:caps w:val="0"/>
          <w:snapToGrid w:val="0"/>
          <w:color w:val="auto"/>
          <w:spacing w:val="0"/>
          <w:kern w:val="0"/>
          <w:sz w:val="32"/>
          <w:szCs w:val="32"/>
          <w:highlight w:val="none"/>
          <w:shd w:val="clear" w:color="auto" w:fill="FFFFFF"/>
        </w:rPr>
        <w:t>另有</w:t>
      </w:r>
      <w:r>
        <w:rPr>
          <w:rStyle w:val="8"/>
          <w:rFonts w:hint="eastAsia" w:ascii="仿宋_GB2312" w:hAnsi="仿宋_GB2312" w:eastAsia="仿宋_GB2312" w:cs="仿宋_GB2312"/>
          <w:i w:val="0"/>
          <w:caps w:val="0"/>
          <w:snapToGrid w:val="0"/>
          <w:color w:val="auto"/>
          <w:spacing w:val="0"/>
          <w:kern w:val="0"/>
          <w:sz w:val="32"/>
          <w:szCs w:val="32"/>
          <w:highlight w:val="none"/>
          <w:shd w:val="clear" w:color="auto" w:fill="FFFFFF"/>
        </w:rPr>
        <w:t>规定的</w:t>
      </w:r>
      <w:r>
        <w:rPr>
          <w:rFonts w:hint="eastAsia" w:ascii="仿宋_GB2312" w:hAnsi="仿宋_GB2312" w:eastAsia="仿宋_GB2312" w:cs="仿宋_GB2312"/>
          <w:i w:val="0"/>
          <w:caps w:val="0"/>
          <w:snapToGrid w:val="0"/>
          <w:color w:val="auto"/>
          <w:spacing w:val="0"/>
          <w:kern w:val="0"/>
          <w:sz w:val="32"/>
          <w:szCs w:val="32"/>
          <w:highlight w:val="none"/>
          <w:lang w:eastAsia="zh-CN"/>
        </w:rPr>
        <w:t>，</w:t>
      </w:r>
      <w:r>
        <w:rPr>
          <w:rStyle w:val="8"/>
          <w:rFonts w:hint="eastAsia" w:ascii="仿宋_GB2312" w:hAnsi="仿宋_GB2312" w:eastAsia="仿宋_GB2312" w:cs="仿宋_GB2312"/>
          <w:i w:val="0"/>
          <w:caps w:val="0"/>
          <w:snapToGrid w:val="0"/>
          <w:color w:val="auto"/>
          <w:spacing w:val="0"/>
          <w:kern w:val="0"/>
          <w:sz w:val="32"/>
          <w:szCs w:val="32"/>
          <w:highlight w:val="none"/>
          <w:shd w:val="clear" w:color="auto" w:fill="FFFFFF"/>
        </w:rPr>
        <w:t>从其规定</w:t>
      </w:r>
      <w:r>
        <w:rPr>
          <w:rFonts w:hint="eastAsia" w:ascii="仿宋_GB2312" w:hAnsi="仿宋_GB2312" w:eastAsia="仿宋_GB2312" w:cs="仿宋_GB2312"/>
          <w:i w:val="0"/>
          <w:caps w:val="0"/>
          <w:snapToGrid w:val="0"/>
          <w:color w:val="auto"/>
          <w:spacing w:val="0"/>
          <w:kern w:val="0"/>
          <w:sz w:val="32"/>
          <w:szCs w:val="32"/>
          <w:highlight w:val="none"/>
          <w:shd w:val="clear" w:color="auto" w:fill="FFFFFF"/>
        </w:rPr>
        <w:t>。</w:t>
      </w: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eastAsia="zh-CN"/>
        </w:rPr>
      </w:pPr>
      <w:r>
        <w:rPr>
          <w:rFonts w:hint="eastAsia" w:ascii="黑体" w:hAnsi="黑体" w:eastAsia="黑体" w:cs="黑体"/>
          <w:snapToGrid w:val="0"/>
          <w:color w:val="auto"/>
          <w:spacing w:val="0"/>
          <w:kern w:val="0"/>
          <w:sz w:val="32"/>
          <w:szCs w:val="32"/>
          <w:highlight w:val="none"/>
          <w:lang w:val="en-US" w:eastAsia="zh-CN"/>
        </w:rPr>
        <w:t xml:space="preserve">第三十六条  </w:t>
      </w:r>
      <w:r>
        <w:rPr>
          <w:rFonts w:hint="eastAsia" w:ascii="仿宋_GB2312" w:hAnsi="仿宋_GB2312" w:eastAsia="仿宋_GB2312" w:cs="仿宋_GB2312"/>
          <w:snapToGrid w:val="0"/>
          <w:color w:val="auto"/>
          <w:spacing w:val="0"/>
          <w:kern w:val="0"/>
          <w:sz w:val="32"/>
          <w:szCs w:val="32"/>
          <w:highlight w:val="none"/>
        </w:rPr>
        <w:t>本</w:t>
      </w:r>
      <w:r>
        <w:rPr>
          <w:rFonts w:hint="eastAsia" w:ascii="仿宋_GB2312" w:hAnsi="仿宋_GB2312" w:eastAsia="仿宋_GB2312" w:cs="仿宋_GB2312"/>
          <w:snapToGrid w:val="0"/>
          <w:color w:val="auto"/>
          <w:spacing w:val="0"/>
          <w:kern w:val="0"/>
          <w:sz w:val="32"/>
          <w:szCs w:val="32"/>
          <w:highlight w:val="none"/>
          <w:lang w:eastAsia="zh-CN"/>
        </w:rPr>
        <w:t>规范</w:t>
      </w:r>
      <w:r>
        <w:rPr>
          <w:rFonts w:hint="eastAsia" w:ascii="仿宋_GB2312" w:hAnsi="仿宋_GB2312" w:eastAsia="仿宋_GB2312" w:cs="仿宋_GB2312"/>
          <w:snapToGrid w:val="0"/>
          <w:color w:val="auto"/>
          <w:spacing w:val="0"/>
          <w:kern w:val="0"/>
          <w:sz w:val="32"/>
          <w:szCs w:val="32"/>
          <w:highlight w:val="none"/>
        </w:rPr>
        <w:t>由福建省</w:t>
      </w:r>
      <w:r>
        <w:rPr>
          <w:rFonts w:hint="eastAsia" w:ascii="仿宋_GB2312" w:hAnsi="仿宋_GB2312" w:eastAsia="仿宋_GB2312" w:cs="仿宋_GB2312"/>
          <w:snapToGrid w:val="0"/>
          <w:color w:val="auto"/>
          <w:spacing w:val="0"/>
          <w:kern w:val="0"/>
          <w:sz w:val="32"/>
          <w:szCs w:val="32"/>
          <w:highlight w:val="none"/>
          <w:lang w:eastAsia="zh-CN"/>
        </w:rPr>
        <w:t>市场</w:t>
      </w:r>
      <w:r>
        <w:rPr>
          <w:rFonts w:hint="eastAsia" w:ascii="仿宋_GB2312" w:hAnsi="仿宋_GB2312" w:eastAsia="仿宋_GB2312" w:cs="仿宋_GB2312"/>
          <w:snapToGrid w:val="0"/>
          <w:color w:val="auto"/>
          <w:spacing w:val="0"/>
          <w:kern w:val="0"/>
          <w:sz w:val="32"/>
          <w:szCs w:val="32"/>
          <w:highlight w:val="none"/>
        </w:rPr>
        <w:t>监督管理局负责解释</w:t>
      </w:r>
      <w:r>
        <w:rPr>
          <w:rFonts w:hint="eastAsia" w:ascii="仿宋_GB2312" w:hAnsi="仿宋_GB2312" w:eastAsia="仿宋_GB2312" w:cs="仿宋_GB2312"/>
          <w:snapToGrid w:val="0"/>
          <w:color w:val="auto"/>
          <w:spacing w:val="0"/>
          <w:kern w:val="0"/>
          <w:sz w:val="32"/>
          <w:szCs w:val="32"/>
          <w:highlight w:val="none"/>
          <w:lang w:eastAsia="zh-CN"/>
        </w:rPr>
        <w:t>。</w:t>
      </w: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snapToGrid w:val="0"/>
          <w:color w:val="auto"/>
          <w:spacing w:val="0"/>
          <w:kern w:val="0"/>
          <w:sz w:val="32"/>
          <w:szCs w:val="32"/>
          <w:highlight w:val="none"/>
          <w:lang w:val="en-US" w:eastAsia="zh-CN"/>
        </w:rPr>
      </w:pPr>
      <w:r>
        <w:rPr>
          <w:rFonts w:hint="eastAsia" w:ascii="黑体" w:hAnsi="黑体" w:eastAsia="黑体" w:cs="黑体"/>
          <w:snapToGrid w:val="0"/>
          <w:color w:val="auto"/>
          <w:spacing w:val="0"/>
          <w:kern w:val="0"/>
          <w:sz w:val="32"/>
          <w:szCs w:val="32"/>
          <w:highlight w:val="none"/>
          <w:lang w:val="en-US" w:eastAsia="zh-CN"/>
        </w:rPr>
        <w:t xml:space="preserve">第三十七条 </w:t>
      </w:r>
      <w:r>
        <w:rPr>
          <w:rFonts w:hint="eastAsia" w:ascii="仿宋_GB2312" w:hAnsi="仿宋_GB2312" w:eastAsia="仿宋_GB2312" w:cs="仿宋_GB2312"/>
          <w:snapToGrid w:val="0"/>
          <w:color w:val="auto"/>
          <w:spacing w:val="0"/>
          <w:kern w:val="0"/>
          <w:sz w:val="32"/>
          <w:szCs w:val="32"/>
          <w:highlight w:val="none"/>
          <w:shd w:val="clear" w:color="auto" w:fill="FFFFFF"/>
          <w:lang w:val="en-US" w:eastAsia="zh-CN"/>
        </w:rPr>
        <w:t xml:space="preserve"> </w:t>
      </w:r>
      <w:r>
        <w:rPr>
          <w:rFonts w:hint="eastAsia" w:ascii="仿宋_GB2312" w:hAnsi="仿宋_GB2312" w:eastAsia="仿宋_GB2312" w:cs="仿宋_GB2312"/>
          <w:snapToGrid w:val="0"/>
          <w:color w:val="auto"/>
          <w:spacing w:val="0"/>
          <w:kern w:val="0"/>
          <w:sz w:val="32"/>
          <w:szCs w:val="32"/>
          <w:highlight w:val="none"/>
          <w:lang w:val="en-US" w:eastAsia="zh-CN"/>
        </w:rPr>
        <w:t>本规范</w:t>
      </w:r>
      <w:r>
        <w:rPr>
          <w:rFonts w:hint="eastAsia" w:ascii="仿宋_GB2312" w:hAnsi="仿宋_GB2312" w:eastAsia="仿宋_GB2312" w:cs="仿宋_GB2312"/>
          <w:snapToGrid w:val="0"/>
          <w:color w:val="auto"/>
          <w:spacing w:val="0"/>
          <w:kern w:val="0"/>
          <w:sz w:val="32"/>
          <w:szCs w:val="32"/>
          <w:highlight w:val="none"/>
          <w:lang w:eastAsia="zh-CN"/>
        </w:rPr>
        <w:t>有效期</w:t>
      </w:r>
      <w:r>
        <w:rPr>
          <w:rFonts w:hint="eastAsia" w:ascii="仿宋_GB2312" w:hAnsi="仿宋_GB2312" w:eastAsia="仿宋_GB2312" w:cs="仿宋_GB2312"/>
          <w:snapToGrid w:val="0"/>
          <w:color w:val="auto"/>
          <w:spacing w:val="0"/>
          <w:kern w:val="0"/>
          <w:sz w:val="32"/>
          <w:szCs w:val="32"/>
          <w:highlight w:val="none"/>
          <w:lang w:val="en-US" w:eastAsia="zh-CN"/>
        </w:rPr>
        <w:t>五年，</w:t>
      </w:r>
      <w:r>
        <w:rPr>
          <w:rFonts w:hint="eastAsia" w:ascii="仿宋_GB2312" w:hAnsi="仿宋_GB2312" w:eastAsia="仿宋_GB2312" w:cs="仿宋_GB2312"/>
          <w:snapToGrid w:val="0"/>
          <w:color w:val="auto"/>
          <w:spacing w:val="0"/>
          <w:kern w:val="0"/>
          <w:sz w:val="32"/>
          <w:szCs w:val="32"/>
          <w:highlight w:val="none"/>
        </w:rPr>
        <w:t>自20</w:t>
      </w:r>
      <w:r>
        <w:rPr>
          <w:rFonts w:hint="eastAsia" w:ascii="仿宋_GB2312" w:hAnsi="仿宋_GB2312" w:eastAsia="仿宋_GB2312" w:cs="仿宋_GB2312"/>
          <w:snapToGrid w:val="0"/>
          <w:color w:val="auto"/>
          <w:spacing w:val="0"/>
          <w:kern w:val="0"/>
          <w:sz w:val="32"/>
          <w:szCs w:val="32"/>
          <w:highlight w:val="none"/>
          <w:lang w:val="en-US" w:eastAsia="zh-CN"/>
        </w:rPr>
        <w:t>25</w:t>
      </w:r>
      <w:r>
        <w:rPr>
          <w:rFonts w:hint="eastAsia" w:ascii="仿宋_GB2312" w:hAnsi="仿宋_GB2312" w:eastAsia="仿宋_GB2312" w:cs="仿宋_GB2312"/>
          <w:snapToGrid w:val="0"/>
          <w:color w:val="auto"/>
          <w:spacing w:val="0"/>
          <w:kern w:val="0"/>
          <w:sz w:val="32"/>
          <w:szCs w:val="32"/>
          <w:highlight w:val="none"/>
        </w:rPr>
        <w:t>年</w:t>
      </w:r>
      <w:r>
        <w:rPr>
          <w:rFonts w:hint="eastAsia" w:ascii="仿宋_GB2312" w:hAnsi="仿宋_GB2312" w:eastAsia="仿宋_GB2312" w:cs="仿宋_GB2312"/>
          <w:snapToGrid w:val="0"/>
          <w:color w:val="auto"/>
          <w:spacing w:val="0"/>
          <w:kern w:val="0"/>
          <w:sz w:val="32"/>
          <w:szCs w:val="32"/>
          <w:highlight w:val="none"/>
          <w:lang w:val="en-US" w:eastAsia="zh-CN"/>
        </w:rPr>
        <w:t xml:space="preserve">  </w:t>
      </w:r>
      <w:r>
        <w:rPr>
          <w:rFonts w:hint="eastAsia" w:ascii="仿宋_GB2312" w:hAnsi="仿宋_GB2312" w:eastAsia="仿宋_GB2312" w:cs="仿宋_GB2312"/>
          <w:snapToGrid w:val="0"/>
          <w:color w:val="auto"/>
          <w:spacing w:val="0"/>
          <w:kern w:val="0"/>
          <w:sz w:val="32"/>
          <w:szCs w:val="32"/>
          <w:highlight w:val="none"/>
        </w:rPr>
        <w:t>月</w:t>
      </w:r>
      <w:r>
        <w:rPr>
          <w:rFonts w:hint="eastAsia" w:ascii="仿宋_GB2312" w:hAnsi="仿宋_GB2312" w:eastAsia="仿宋_GB2312" w:cs="仿宋_GB2312"/>
          <w:snapToGrid w:val="0"/>
          <w:color w:val="auto"/>
          <w:spacing w:val="0"/>
          <w:kern w:val="0"/>
          <w:sz w:val="32"/>
          <w:szCs w:val="32"/>
          <w:highlight w:val="none"/>
          <w:lang w:val="en-US" w:eastAsia="zh-CN"/>
        </w:rPr>
        <w:t xml:space="preserve">  </w:t>
      </w:r>
      <w:r>
        <w:rPr>
          <w:rFonts w:hint="eastAsia" w:ascii="仿宋_GB2312" w:hAnsi="仿宋_GB2312" w:eastAsia="仿宋_GB2312" w:cs="仿宋_GB2312"/>
          <w:snapToGrid w:val="0"/>
          <w:color w:val="auto"/>
          <w:spacing w:val="0"/>
          <w:kern w:val="0"/>
          <w:sz w:val="32"/>
          <w:szCs w:val="32"/>
          <w:highlight w:val="none"/>
        </w:rPr>
        <w:t>日起</w:t>
      </w:r>
      <w:r>
        <w:rPr>
          <w:rFonts w:hint="eastAsia" w:ascii="仿宋_GB2312" w:hAnsi="仿宋_GB2312" w:eastAsia="仿宋_GB2312" w:cs="仿宋_GB2312"/>
          <w:snapToGrid w:val="0"/>
          <w:color w:val="auto"/>
          <w:spacing w:val="0"/>
          <w:kern w:val="0"/>
          <w:sz w:val="32"/>
          <w:szCs w:val="32"/>
          <w:highlight w:val="none"/>
          <w:lang w:val="en-US" w:eastAsia="zh-CN"/>
        </w:rPr>
        <w:t>施行</w:t>
      </w:r>
      <w:r>
        <w:rPr>
          <w:rFonts w:hint="eastAsia" w:ascii="仿宋_GB2312" w:hAnsi="仿宋_GB2312" w:eastAsia="仿宋_GB2312" w:cs="仿宋_GB2312"/>
          <w:snapToGrid w:val="0"/>
          <w:color w:val="auto"/>
          <w:spacing w:val="0"/>
          <w:kern w:val="0"/>
          <w:sz w:val="32"/>
          <w:szCs w:val="32"/>
          <w:highlight w:val="none"/>
          <w:lang w:eastAsia="zh-CN"/>
        </w:rPr>
        <w:t>，</w:t>
      </w:r>
      <w:r>
        <w:rPr>
          <w:rFonts w:hint="eastAsia" w:ascii="仿宋_GB2312" w:hAnsi="仿宋_GB2312" w:eastAsia="仿宋_GB2312" w:cs="仿宋_GB2312"/>
          <w:snapToGrid w:val="0"/>
          <w:color w:val="auto"/>
          <w:spacing w:val="0"/>
          <w:kern w:val="0"/>
          <w:sz w:val="32"/>
          <w:szCs w:val="32"/>
          <w:highlight w:val="none"/>
          <w:lang w:val="en-US" w:eastAsia="zh-CN"/>
        </w:rPr>
        <w:t>2022年发布的《</w:t>
      </w:r>
      <w:r>
        <w:rPr>
          <w:rFonts w:hint="eastAsia" w:ascii="仿宋_GB2312" w:hAnsi="仿宋_GB2312" w:eastAsia="仿宋_GB2312" w:cs="仿宋_GB2312"/>
          <w:b w:val="0"/>
          <w:bCs w:val="0"/>
          <w:snapToGrid w:val="0"/>
          <w:color w:val="auto"/>
          <w:spacing w:val="0"/>
          <w:kern w:val="0"/>
          <w:sz w:val="32"/>
          <w:szCs w:val="32"/>
          <w:highlight w:val="none"/>
          <w:lang w:eastAsia="zh-CN"/>
        </w:rPr>
        <w:t>福建省食品安全风险分级管理工作规范（</w:t>
      </w:r>
      <w:r>
        <w:rPr>
          <w:rFonts w:hint="eastAsia" w:ascii="仿宋_GB2312" w:hAnsi="仿宋_GB2312" w:eastAsia="仿宋_GB2312" w:cs="仿宋_GB2312"/>
          <w:b w:val="0"/>
          <w:bCs w:val="0"/>
          <w:snapToGrid w:val="0"/>
          <w:color w:val="auto"/>
          <w:spacing w:val="0"/>
          <w:kern w:val="0"/>
          <w:sz w:val="32"/>
          <w:szCs w:val="32"/>
          <w:highlight w:val="none"/>
          <w:lang w:val="en-US" w:eastAsia="zh-CN"/>
        </w:rPr>
        <w:t>试行</w:t>
      </w:r>
      <w:r>
        <w:rPr>
          <w:rFonts w:hint="eastAsia" w:ascii="仿宋_GB2312" w:hAnsi="仿宋_GB2312" w:eastAsia="仿宋_GB2312" w:cs="仿宋_GB2312"/>
          <w:b w:val="0"/>
          <w:bCs w:val="0"/>
          <w:snapToGrid w:val="0"/>
          <w:color w:val="auto"/>
          <w:spacing w:val="0"/>
          <w:kern w:val="0"/>
          <w:sz w:val="32"/>
          <w:szCs w:val="32"/>
          <w:highlight w:val="none"/>
          <w:lang w:eastAsia="zh-CN"/>
        </w:rPr>
        <w:t>）</w:t>
      </w:r>
      <w:r>
        <w:rPr>
          <w:rFonts w:hint="eastAsia" w:ascii="仿宋_GB2312" w:hAnsi="仿宋_GB2312" w:eastAsia="仿宋_GB2312" w:cs="仿宋_GB2312"/>
          <w:snapToGrid w:val="0"/>
          <w:color w:val="auto"/>
          <w:spacing w:val="0"/>
          <w:kern w:val="0"/>
          <w:sz w:val="32"/>
          <w:szCs w:val="32"/>
          <w:highlight w:val="none"/>
          <w:lang w:val="en-US" w:eastAsia="zh-CN"/>
        </w:rPr>
        <w:t>》同时废止。</w:t>
      </w:r>
      <w:r>
        <w:rPr>
          <w:rFonts w:hint="eastAsia" w:ascii="仿宋_GB2312" w:hAnsi="仿宋_GB2312" w:eastAsia="仿宋_GB2312" w:cs="仿宋_GB2312"/>
          <w:snapToGrid w:val="0"/>
          <w:color w:val="auto"/>
          <w:spacing w:val="0"/>
          <w:kern w:val="0"/>
          <w:sz w:val="32"/>
          <w:szCs w:val="32"/>
          <w:highlight w:val="none"/>
          <w:lang w:val="en-US" w:eastAsia="zh-CN"/>
        </w:rPr>
        <w:tab/>
      </w: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b w:val="0"/>
          <w:bCs w:val="0"/>
          <w:snapToGrid w:val="0"/>
          <w:color w:val="auto"/>
          <w:spacing w:val="0"/>
          <w:kern w:val="0"/>
          <w:sz w:val="32"/>
          <w:szCs w:val="32"/>
          <w:highlight w:val="none"/>
          <w:lang w:val="en-US" w:eastAsia="zh-CN"/>
        </w:rPr>
      </w:pP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ind w:firstLine="640" w:firstLineChars="200"/>
        <w:jc w:val="both"/>
        <w:textAlignment w:val="auto"/>
        <w:rPr>
          <w:rFonts w:hint="eastAsia" w:ascii="仿宋_GB2312" w:hAnsi="仿宋_GB2312" w:eastAsia="仿宋_GB2312" w:cs="仿宋_GB2312"/>
          <w:b w:val="0"/>
          <w:bCs w:val="0"/>
          <w:snapToGrid w:val="0"/>
          <w:color w:val="auto"/>
          <w:spacing w:val="0"/>
          <w:kern w:val="0"/>
          <w:sz w:val="32"/>
          <w:szCs w:val="32"/>
          <w:highlight w:val="none"/>
          <w:lang w:val="en-US" w:eastAsia="zh-CN"/>
        </w:rPr>
      </w:pPr>
      <w:r>
        <w:rPr>
          <w:rFonts w:hint="eastAsia" w:ascii="仿宋_GB2312" w:hAnsi="仿宋_GB2312" w:eastAsia="仿宋_GB2312" w:cs="仿宋_GB2312"/>
          <w:b w:val="0"/>
          <w:bCs w:val="0"/>
          <w:snapToGrid w:val="0"/>
          <w:color w:val="auto"/>
          <w:spacing w:val="0"/>
          <w:kern w:val="0"/>
          <w:sz w:val="32"/>
          <w:szCs w:val="32"/>
          <w:highlight w:val="none"/>
          <w:lang w:val="en-US" w:eastAsia="zh-CN"/>
        </w:rPr>
        <w:t>附件：1.食品生产经营者风险等级评定表</w:t>
      </w: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ind w:firstLine="1600" w:firstLineChars="500"/>
        <w:jc w:val="both"/>
        <w:textAlignment w:val="auto"/>
        <w:rPr>
          <w:rFonts w:hint="eastAsia" w:ascii="仿宋_GB2312" w:hAnsi="仿宋_GB2312" w:eastAsia="仿宋_GB2312" w:cs="仿宋_GB2312"/>
          <w:b w:val="0"/>
          <w:bCs w:val="0"/>
          <w:snapToGrid w:val="0"/>
          <w:color w:val="auto"/>
          <w:spacing w:val="0"/>
          <w:kern w:val="0"/>
          <w:sz w:val="32"/>
          <w:szCs w:val="32"/>
          <w:highlight w:val="none"/>
          <w:lang w:val="en-US" w:eastAsia="zh-CN"/>
        </w:rPr>
      </w:pPr>
      <w:r>
        <w:rPr>
          <w:rFonts w:hint="eastAsia" w:ascii="仿宋_GB2312" w:hAnsi="仿宋_GB2312" w:eastAsia="仿宋_GB2312" w:cs="仿宋_GB2312"/>
          <w:b w:val="0"/>
          <w:bCs w:val="0"/>
          <w:snapToGrid w:val="0"/>
          <w:color w:val="auto"/>
          <w:spacing w:val="0"/>
          <w:kern w:val="0"/>
          <w:sz w:val="32"/>
          <w:szCs w:val="32"/>
          <w:highlight w:val="none"/>
          <w:lang w:val="en-US" w:eastAsia="zh-CN"/>
        </w:rPr>
        <w:t>2.食品生产企业风险因素量化分值表</w:t>
      </w: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ind w:firstLine="1600" w:firstLineChars="500"/>
        <w:jc w:val="both"/>
        <w:textAlignment w:val="auto"/>
        <w:rPr>
          <w:rFonts w:hint="eastAsia" w:ascii="仿宋_GB2312" w:hAnsi="仿宋_GB2312" w:eastAsia="仿宋_GB2312" w:cs="仿宋_GB2312"/>
          <w:b w:val="0"/>
          <w:bCs w:val="0"/>
          <w:snapToGrid w:val="0"/>
          <w:color w:val="auto"/>
          <w:spacing w:val="0"/>
          <w:kern w:val="0"/>
          <w:sz w:val="32"/>
          <w:szCs w:val="32"/>
          <w:highlight w:val="none"/>
          <w:lang w:val="en-US" w:eastAsia="zh-CN"/>
        </w:rPr>
      </w:pPr>
      <w:r>
        <w:rPr>
          <w:rFonts w:hint="eastAsia" w:ascii="仿宋_GB2312" w:hAnsi="仿宋_GB2312" w:eastAsia="仿宋_GB2312" w:cs="仿宋_GB2312"/>
          <w:b w:val="0"/>
          <w:bCs w:val="0"/>
          <w:snapToGrid w:val="0"/>
          <w:color w:val="auto"/>
          <w:spacing w:val="0"/>
          <w:kern w:val="0"/>
          <w:sz w:val="32"/>
          <w:szCs w:val="32"/>
          <w:highlight w:val="none"/>
          <w:lang w:val="en-US" w:eastAsia="zh-CN"/>
        </w:rPr>
        <w:t>3.食品销售者风险因素量化分值表</w:t>
      </w: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ind w:firstLine="1600" w:firstLineChars="500"/>
        <w:jc w:val="both"/>
        <w:textAlignment w:val="auto"/>
        <w:rPr>
          <w:rFonts w:hint="eastAsia" w:ascii="仿宋_GB2312" w:hAnsi="仿宋_GB2312" w:eastAsia="仿宋_GB2312" w:cs="仿宋_GB2312"/>
          <w:b w:val="0"/>
          <w:bCs w:val="0"/>
          <w:snapToGrid w:val="0"/>
          <w:color w:val="auto"/>
          <w:spacing w:val="0"/>
          <w:kern w:val="0"/>
          <w:sz w:val="32"/>
          <w:szCs w:val="32"/>
          <w:highlight w:val="none"/>
          <w:lang w:val="en-US" w:eastAsia="zh-CN"/>
        </w:rPr>
      </w:pPr>
      <w:r>
        <w:rPr>
          <w:rFonts w:hint="eastAsia" w:ascii="仿宋_GB2312" w:hAnsi="仿宋_GB2312" w:eastAsia="仿宋_GB2312" w:cs="仿宋_GB2312"/>
          <w:b w:val="0"/>
          <w:bCs w:val="0"/>
          <w:snapToGrid w:val="0"/>
          <w:color w:val="auto"/>
          <w:spacing w:val="0"/>
          <w:kern w:val="0"/>
          <w:sz w:val="32"/>
          <w:szCs w:val="32"/>
          <w:highlight w:val="none"/>
          <w:lang w:val="en-US" w:eastAsia="zh-CN"/>
        </w:rPr>
        <w:t>4.餐饮服务提供者风险因素量化分值表</w:t>
      </w: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ind w:firstLine="1600" w:firstLineChars="500"/>
        <w:jc w:val="both"/>
        <w:textAlignment w:val="auto"/>
        <w:rPr>
          <w:rFonts w:hint="eastAsia" w:ascii="仿宋_GB2312" w:hAnsi="仿宋_GB2312" w:eastAsia="仿宋_GB2312" w:cs="仿宋_GB2312"/>
          <w:b w:val="0"/>
          <w:bCs w:val="0"/>
          <w:snapToGrid w:val="0"/>
          <w:color w:val="auto"/>
          <w:spacing w:val="0"/>
          <w:kern w:val="0"/>
          <w:sz w:val="32"/>
          <w:szCs w:val="32"/>
          <w:highlight w:val="none"/>
          <w:lang w:val="en-US" w:eastAsia="zh-CN"/>
        </w:rPr>
      </w:pPr>
      <w:r>
        <w:rPr>
          <w:rFonts w:hint="eastAsia" w:ascii="仿宋_GB2312" w:hAnsi="仿宋_GB2312" w:eastAsia="仿宋_GB2312" w:cs="仿宋_GB2312"/>
          <w:b w:val="0"/>
          <w:bCs w:val="0"/>
          <w:snapToGrid w:val="0"/>
          <w:color w:val="auto"/>
          <w:spacing w:val="0"/>
          <w:kern w:val="0"/>
          <w:sz w:val="32"/>
          <w:szCs w:val="32"/>
          <w:highlight w:val="none"/>
          <w:lang w:val="en-US" w:eastAsia="zh-CN"/>
        </w:rPr>
        <w:t>5.从事食品贮存业务的非食品生产经营者风险因素</w:t>
      </w:r>
    </w:p>
    <w:p>
      <w:pPr>
        <w:keepNext w:val="0"/>
        <w:keepLines w:val="0"/>
        <w:pageBreakBefore w:val="0"/>
        <w:widowControl w:val="0"/>
        <w:tabs>
          <w:tab w:val="left" w:pos="790"/>
        </w:tabs>
        <w:kinsoku/>
        <w:wordWrap/>
        <w:overflowPunct w:val="0"/>
        <w:topLinePunct w:val="0"/>
        <w:autoSpaceDE/>
        <w:autoSpaceDN/>
        <w:bidi w:val="0"/>
        <w:adjustRightInd w:val="0"/>
        <w:snapToGrid w:val="0"/>
        <w:spacing w:line="576" w:lineRule="exact"/>
        <w:ind w:firstLine="1920" w:firstLineChars="600"/>
        <w:jc w:val="both"/>
        <w:textAlignment w:val="auto"/>
        <w:rPr>
          <w:rFonts w:hint="eastAsia" w:ascii="Times New Roman" w:hAnsi="Times New Roman" w:eastAsia="仿宋_GB2312" w:cs="Times New Roman"/>
          <w:color w:val="auto"/>
          <w:spacing w:val="-6"/>
          <w:sz w:val="32"/>
          <w:szCs w:val="32"/>
          <w:highlight w:val="none"/>
          <w:lang w:val="en-US" w:eastAsia="zh-CN"/>
        </w:rPr>
      </w:pPr>
      <w:r>
        <w:rPr>
          <w:rFonts w:hint="eastAsia" w:ascii="仿宋_GB2312" w:hAnsi="仿宋_GB2312" w:eastAsia="仿宋_GB2312" w:cs="仿宋_GB2312"/>
          <w:b w:val="0"/>
          <w:bCs w:val="0"/>
          <w:snapToGrid w:val="0"/>
          <w:color w:val="auto"/>
          <w:spacing w:val="0"/>
          <w:kern w:val="0"/>
          <w:sz w:val="32"/>
          <w:szCs w:val="32"/>
          <w:highlight w:val="none"/>
          <w:lang w:val="en-US" w:eastAsia="zh-CN"/>
        </w:rPr>
        <w:t>量化分值表</w:t>
      </w:r>
    </w:p>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rPr>
          <w:rFonts w:hint="eastAsia" w:ascii="黑体" w:hAnsi="黑体" w:eastAsia="黑体" w:cs="黑体"/>
          <w:i w:val="0"/>
          <w:iCs w:val="0"/>
          <w:caps w:val="0"/>
          <w:color w:val="auto"/>
          <w:spacing w:val="0"/>
          <w:kern w:val="0"/>
          <w:sz w:val="32"/>
          <w:szCs w:val="32"/>
          <w:shd w:val="clear" w:color="auto" w:fill="FFFFFF"/>
          <w:lang w:val="en-US" w:eastAsia="zh-CN" w:bidi="ar"/>
        </w:rPr>
        <w:sectPr>
          <w:footerReference r:id="rId3" w:type="default"/>
          <w:pgSz w:w="11906" w:h="16838"/>
          <w:pgMar w:top="2098" w:right="1474" w:bottom="1984" w:left="1587" w:header="851" w:footer="992" w:gutter="0"/>
          <w:pgBorders>
            <w:top w:val="none" w:sz="0" w:space="0"/>
            <w:left w:val="none" w:sz="0" w:space="0"/>
            <w:bottom w:val="none" w:sz="0" w:space="0"/>
            <w:right w:val="none" w:sz="0" w:space="0"/>
          </w:pgBorders>
          <w:pgNumType w:fmt="decimal"/>
          <w:cols w:space="0" w:num="1"/>
          <w:rtlGutter w:val="0"/>
          <w:docGrid w:type="lines" w:linePitch="323" w:charSpace="0"/>
        </w:sectPr>
      </w:pPr>
    </w:p>
    <w:p>
      <w:pPr>
        <w:keepNext w:val="0"/>
        <w:keepLines w:val="0"/>
        <w:pageBreakBefore w:val="0"/>
        <w:widowControl w:val="0"/>
        <w:kinsoku/>
        <w:wordWrap/>
        <w:overflowPunct w:val="0"/>
        <w:topLinePunct w:val="0"/>
        <w:autoSpaceDE/>
        <w:autoSpaceDN/>
        <w:bidi w:val="0"/>
        <w:adjustRightInd w:val="0"/>
        <w:snapToGrid w:val="0"/>
        <w:spacing w:line="600" w:lineRule="exact"/>
        <w:jc w:val="both"/>
        <w:textAlignment w:val="auto"/>
        <w:rPr>
          <w:rFonts w:hint="eastAsia" w:ascii="黑体" w:hAnsi="黑体" w:eastAsia="黑体" w:cs="黑体"/>
          <w:i w:val="0"/>
          <w:iCs w:val="0"/>
          <w:caps w:val="0"/>
          <w:color w:val="auto"/>
          <w:spacing w:val="0"/>
          <w:kern w:val="0"/>
          <w:sz w:val="32"/>
          <w:szCs w:val="32"/>
          <w:shd w:val="clear" w:color="auto" w:fill="FFFFFF"/>
          <w:lang w:val="en-US" w:eastAsia="zh-CN" w:bidi="ar"/>
        </w:rPr>
      </w:pPr>
      <w:r>
        <w:rPr>
          <w:rFonts w:hint="eastAsia" w:ascii="黑体" w:hAnsi="黑体" w:eastAsia="黑体" w:cs="黑体"/>
          <w:i w:val="0"/>
          <w:iCs w:val="0"/>
          <w:caps w:val="0"/>
          <w:color w:val="auto"/>
          <w:spacing w:val="0"/>
          <w:kern w:val="0"/>
          <w:sz w:val="32"/>
          <w:szCs w:val="32"/>
          <w:shd w:val="clear" w:color="auto" w:fill="FFFFFF"/>
          <w:lang w:val="en-US" w:eastAsia="zh-CN" w:bidi="ar"/>
        </w:rPr>
        <w:t>附件1</w:t>
      </w:r>
    </w:p>
    <w:p>
      <w:pPr>
        <w:pStyle w:val="2"/>
        <w:keepNext w:val="0"/>
        <w:keepLines w:val="0"/>
        <w:pageBreakBefore w:val="0"/>
        <w:widowControl w:val="0"/>
        <w:kinsoku/>
        <w:wordWrap/>
        <w:overflowPunct w:val="0"/>
        <w:topLinePunct w:val="0"/>
        <w:autoSpaceDE/>
        <w:autoSpaceDN/>
        <w:bidi w:val="0"/>
        <w:adjustRightInd w:val="0"/>
        <w:snapToGrid w:val="0"/>
        <w:spacing w:after="0" w:line="600" w:lineRule="exact"/>
        <w:textAlignment w:val="auto"/>
        <w:rPr>
          <w:rFonts w:hint="eastAsia"/>
          <w:lang w:val="en-US" w:eastAsia="zh-CN"/>
        </w:rPr>
      </w:pPr>
    </w:p>
    <w:p>
      <w:pPr>
        <w:keepNext w:val="0"/>
        <w:keepLines w:val="0"/>
        <w:pageBreakBefore w:val="0"/>
        <w:widowControl w:val="0"/>
        <w:kinsoku/>
        <w:wordWrap/>
        <w:overflowPunct w:val="0"/>
        <w:topLinePunct w:val="0"/>
        <w:autoSpaceDE/>
        <w:autoSpaceDN/>
        <w:bidi w:val="0"/>
        <w:adjustRightInd w:val="0"/>
        <w:snapToGrid w:val="0"/>
        <w:spacing w:before="0" w:line="600" w:lineRule="exact"/>
        <w:ind w:left="0" w:leftChars="0"/>
        <w:jc w:val="center"/>
        <w:textAlignment w:val="auto"/>
        <w:outlineLvl w:val="9"/>
        <w:rPr>
          <w:rFonts w:hint="eastAsia" w:ascii="Times New Roman" w:hAnsi="Times New Roman" w:eastAsia="方正小标宋简体" w:cs="Times New Roman"/>
          <w:i w:val="0"/>
          <w:iCs w:val="0"/>
          <w:color w:val="000000"/>
          <w:spacing w:val="-6"/>
          <w:kern w:val="0"/>
          <w:sz w:val="44"/>
          <w:szCs w:val="44"/>
          <w:highlight w:val="none"/>
          <w:u w:val="none"/>
          <w:lang w:val="en-US" w:eastAsia="zh-CN" w:bidi="ar"/>
        </w:rPr>
      </w:pPr>
      <w:r>
        <w:rPr>
          <w:rFonts w:hint="default" w:ascii="Times New Roman" w:hAnsi="Times New Roman" w:eastAsia="方正小标宋简体" w:cs="Times New Roman"/>
          <w:i w:val="0"/>
          <w:iCs w:val="0"/>
          <w:color w:val="000000"/>
          <w:spacing w:val="-6"/>
          <w:kern w:val="0"/>
          <w:sz w:val="44"/>
          <w:szCs w:val="44"/>
          <w:highlight w:val="none"/>
          <w:u w:val="none"/>
          <w:lang w:val="en-US" w:eastAsia="zh-CN" w:bidi="ar"/>
        </w:rPr>
        <w:t>食品生产经营者</w:t>
      </w:r>
      <w:r>
        <w:rPr>
          <w:rFonts w:hint="eastAsia" w:ascii="Times New Roman" w:hAnsi="Times New Roman" w:eastAsia="方正小标宋简体" w:cs="Times New Roman"/>
          <w:i w:val="0"/>
          <w:iCs w:val="0"/>
          <w:color w:val="000000"/>
          <w:spacing w:val="-6"/>
          <w:kern w:val="0"/>
          <w:sz w:val="44"/>
          <w:szCs w:val="44"/>
          <w:highlight w:val="none"/>
          <w:u w:val="none"/>
          <w:lang w:val="en-US" w:eastAsia="zh-CN" w:bidi="ar"/>
        </w:rPr>
        <w:t>食品安全信用</w:t>
      </w:r>
      <w:r>
        <w:rPr>
          <w:rFonts w:hint="default" w:ascii="Times New Roman" w:hAnsi="Times New Roman" w:eastAsia="方正小标宋简体" w:cs="Times New Roman"/>
          <w:i w:val="0"/>
          <w:iCs w:val="0"/>
          <w:color w:val="000000"/>
          <w:spacing w:val="-6"/>
          <w:kern w:val="0"/>
          <w:sz w:val="44"/>
          <w:szCs w:val="44"/>
          <w:highlight w:val="none"/>
          <w:u w:val="none"/>
          <w:lang w:val="en-US" w:eastAsia="zh-CN" w:bidi="ar"/>
        </w:rPr>
        <w:t>风险等级评定</w:t>
      </w:r>
      <w:r>
        <w:rPr>
          <w:rFonts w:hint="eastAsia" w:ascii="Times New Roman" w:hAnsi="Times New Roman" w:eastAsia="方正小标宋简体" w:cs="Times New Roman"/>
          <w:i w:val="0"/>
          <w:iCs w:val="0"/>
          <w:color w:val="000000"/>
          <w:spacing w:val="-6"/>
          <w:kern w:val="0"/>
          <w:sz w:val="44"/>
          <w:szCs w:val="44"/>
          <w:highlight w:val="none"/>
          <w:u w:val="none"/>
          <w:lang w:val="en-US" w:eastAsia="zh-CN" w:bidi="ar"/>
        </w:rPr>
        <w:t>表</w:t>
      </w:r>
    </w:p>
    <w:p>
      <w:pPr>
        <w:pStyle w:val="2"/>
        <w:keepNext w:val="0"/>
        <w:keepLines w:val="0"/>
        <w:pageBreakBefore w:val="0"/>
        <w:widowControl w:val="0"/>
        <w:kinsoku/>
        <w:wordWrap/>
        <w:overflowPunct w:val="0"/>
        <w:topLinePunct w:val="0"/>
        <w:autoSpaceDE/>
        <w:autoSpaceDN/>
        <w:bidi w:val="0"/>
        <w:adjustRightInd w:val="0"/>
        <w:snapToGrid w:val="0"/>
        <w:spacing w:after="0" w:line="600" w:lineRule="exact"/>
        <w:textAlignment w:val="auto"/>
      </w:pPr>
    </w:p>
    <w:p>
      <w:pPr>
        <w:pStyle w:val="2"/>
        <w:keepNext w:val="0"/>
        <w:keepLines w:val="0"/>
        <w:pageBreakBefore w:val="0"/>
        <w:widowControl w:val="0"/>
        <w:kinsoku/>
        <w:wordWrap/>
        <w:overflowPunct w:val="0"/>
        <w:topLinePunct w:val="0"/>
        <w:autoSpaceDE/>
        <w:autoSpaceDN/>
        <w:bidi w:val="0"/>
        <w:adjustRightInd w:val="0"/>
        <w:snapToGrid w:val="0"/>
        <w:spacing w:after="0" w:line="600" w:lineRule="exact"/>
        <w:textAlignment w:val="auto"/>
        <w:outlineLvl w:val="9"/>
        <w:rPr>
          <w:rFonts w:hint="eastAsia" w:ascii="黑体" w:hAnsi="黑体" w:eastAsia="黑体" w:cs="黑体"/>
          <w:snapToGrid w:val="0"/>
          <w:spacing w:val="0"/>
          <w:kern w:val="0"/>
          <w:sz w:val="30"/>
          <w:szCs w:val="30"/>
        </w:rPr>
      </w:pPr>
      <w:r>
        <w:rPr>
          <w:rFonts w:hint="eastAsia" w:ascii="黑体" w:hAnsi="黑体" w:eastAsia="黑体" w:cs="黑体"/>
          <w:snapToGrid w:val="0"/>
          <w:spacing w:val="0"/>
          <w:kern w:val="0"/>
          <w:sz w:val="30"/>
          <w:szCs w:val="30"/>
        </w:rPr>
        <w:t>评定时间：</w:t>
      </w:r>
      <w:r>
        <w:rPr>
          <w:rFonts w:hint="eastAsia" w:ascii="黑体" w:hAnsi="黑体" w:eastAsia="黑体" w:cs="黑体"/>
          <w:snapToGrid w:val="0"/>
          <w:spacing w:val="0"/>
          <w:kern w:val="0"/>
          <w:sz w:val="30"/>
          <w:szCs w:val="30"/>
          <w:u w:val="single" w:color="auto"/>
        </w:rPr>
        <w:t xml:space="preserve">  </w:t>
      </w:r>
      <w:r>
        <w:rPr>
          <w:rFonts w:hint="eastAsia" w:ascii="黑体" w:hAnsi="黑体" w:eastAsia="黑体" w:cs="黑体"/>
          <w:snapToGrid w:val="0"/>
          <w:spacing w:val="0"/>
          <w:kern w:val="0"/>
          <w:sz w:val="30"/>
          <w:szCs w:val="30"/>
          <w:u w:val="single" w:color="auto"/>
          <w:lang w:val="en-US" w:eastAsia="zh-CN"/>
        </w:rPr>
        <w:t xml:space="preserve"> </w:t>
      </w:r>
      <w:r>
        <w:rPr>
          <w:rFonts w:hint="eastAsia" w:ascii="黑体" w:hAnsi="黑体" w:eastAsia="黑体" w:cs="黑体"/>
          <w:snapToGrid w:val="0"/>
          <w:spacing w:val="0"/>
          <w:kern w:val="0"/>
          <w:sz w:val="30"/>
          <w:szCs w:val="30"/>
          <w:u w:val="single" w:color="auto"/>
        </w:rPr>
        <w:t xml:space="preserve">  </w:t>
      </w:r>
      <w:r>
        <w:rPr>
          <w:rFonts w:hint="eastAsia" w:ascii="黑体" w:hAnsi="黑体" w:eastAsia="黑体" w:cs="黑体"/>
          <w:snapToGrid w:val="0"/>
          <w:spacing w:val="0"/>
          <w:kern w:val="0"/>
          <w:sz w:val="30"/>
          <w:szCs w:val="30"/>
        </w:rPr>
        <w:t xml:space="preserve">年 </w:t>
      </w:r>
      <w:r>
        <w:rPr>
          <w:rFonts w:hint="eastAsia" w:ascii="黑体" w:hAnsi="黑体" w:eastAsia="黑体" w:cs="黑体"/>
          <w:snapToGrid w:val="0"/>
          <w:spacing w:val="0"/>
          <w:kern w:val="0"/>
          <w:sz w:val="30"/>
          <w:szCs w:val="30"/>
          <w:lang w:val="en-US" w:eastAsia="zh-CN"/>
        </w:rPr>
        <w:t xml:space="preserve"> </w:t>
      </w:r>
      <w:r>
        <w:rPr>
          <w:rFonts w:hint="eastAsia" w:ascii="黑体" w:hAnsi="黑体" w:eastAsia="黑体" w:cs="黑体"/>
          <w:snapToGrid w:val="0"/>
          <w:spacing w:val="0"/>
          <w:kern w:val="0"/>
          <w:sz w:val="30"/>
          <w:szCs w:val="30"/>
          <w:u w:val="single" w:color="auto"/>
        </w:rPr>
        <w:t xml:space="preserve"> </w:t>
      </w:r>
      <w:r>
        <w:rPr>
          <w:rFonts w:hint="eastAsia" w:ascii="黑体" w:hAnsi="黑体" w:eastAsia="黑体" w:cs="黑体"/>
          <w:snapToGrid w:val="0"/>
          <w:spacing w:val="0"/>
          <w:kern w:val="0"/>
          <w:sz w:val="30"/>
          <w:szCs w:val="30"/>
          <w:u w:val="single" w:color="auto"/>
          <w:lang w:val="en-US" w:eastAsia="zh-CN"/>
        </w:rPr>
        <w:t xml:space="preserve">   </w:t>
      </w:r>
      <w:r>
        <w:rPr>
          <w:rFonts w:hint="eastAsia" w:ascii="黑体" w:hAnsi="黑体" w:eastAsia="黑体" w:cs="黑体"/>
          <w:snapToGrid w:val="0"/>
          <w:spacing w:val="0"/>
          <w:kern w:val="0"/>
          <w:sz w:val="30"/>
          <w:szCs w:val="30"/>
        </w:rPr>
        <w:t xml:space="preserve">月 </w:t>
      </w:r>
      <w:r>
        <w:rPr>
          <w:rFonts w:hint="eastAsia" w:ascii="黑体" w:hAnsi="黑体" w:eastAsia="黑体" w:cs="黑体"/>
          <w:snapToGrid w:val="0"/>
          <w:spacing w:val="0"/>
          <w:kern w:val="0"/>
          <w:sz w:val="30"/>
          <w:szCs w:val="30"/>
          <w:lang w:val="en-US" w:eastAsia="zh-CN"/>
        </w:rPr>
        <w:t xml:space="preserve">  </w:t>
      </w:r>
      <w:r>
        <w:rPr>
          <w:rFonts w:hint="eastAsia" w:ascii="黑体" w:hAnsi="黑体" w:eastAsia="黑体" w:cs="黑体"/>
          <w:snapToGrid w:val="0"/>
          <w:spacing w:val="0"/>
          <w:kern w:val="0"/>
          <w:sz w:val="30"/>
          <w:szCs w:val="30"/>
          <w:u w:val="single" w:color="auto"/>
        </w:rPr>
        <w:t xml:space="preserve"> </w:t>
      </w:r>
      <w:r>
        <w:rPr>
          <w:rFonts w:hint="eastAsia" w:ascii="黑体" w:hAnsi="黑体" w:eastAsia="黑体" w:cs="黑体"/>
          <w:snapToGrid w:val="0"/>
          <w:spacing w:val="0"/>
          <w:kern w:val="0"/>
          <w:sz w:val="30"/>
          <w:szCs w:val="30"/>
          <w:u w:val="single" w:color="auto"/>
          <w:lang w:val="en-US" w:eastAsia="zh-CN"/>
        </w:rPr>
        <w:t xml:space="preserve">   </w:t>
      </w:r>
      <w:r>
        <w:rPr>
          <w:rFonts w:hint="eastAsia" w:ascii="黑体" w:hAnsi="黑体" w:eastAsia="黑体" w:cs="黑体"/>
          <w:snapToGrid w:val="0"/>
          <w:spacing w:val="0"/>
          <w:kern w:val="0"/>
          <w:sz w:val="30"/>
          <w:szCs w:val="30"/>
        </w:rPr>
        <w:t>日           编号：</w:t>
      </w:r>
      <w:r>
        <w:rPr>
          <w:rFonts w:hint="eastAsia" w:ascii="黑体" w:hAnsi="黑体" w:eastAsia="黑体" w:cs="黑体"/>
          <w:snapToGrid w:val="0"/>
          <w:spacing w:val="0"/>
          <w:kern w:val="0"/>
          <w:sz w:val="30"/>
          <w:szCs w:val="30"/>
          <w:u w:val="single" w:color="auto"/>
          <w:lang w:val="en-US" w:eastAsia="zh-CN"/>
        </w:rPr>
        <w:t xml:space="preserve">        </w:t>
      </w:r>
    </w:p>
    <w:tbl>
      <w:tblPr>
        <w:tblStyle w:val="17"/>
        <w:tblW w:w="9071"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63"/>
        <w:gridCol w:w="2707"/>
        <w:gridCol w:w="264"/>
        <w:gridCol w:w="973"/>
        <w:gridCol w:w="1453"/>
        <w:gridCol w:w="221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68" w:hRule="atLeast"/>
          <w:jc w:val="center"/>
        </w:trPr>
        <w:tc>
          <w:tcPr>
            <w:tcW w:w="1463"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食品生产经营者</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outlineLvl w:val="9"/>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zh-CN" w:bidi="ar-SA"/>
              </w:rPr>
              <w:t>信息</w:t>
            </w:r>
          </w:p>
        </w:tc>
        <w:tc>
          <w:tcPr>
            <w:tcW w:w="270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zh-CN" w:bidi="ar-SA"/>
              </w:rPr>
              <w:t>食品生产经营者</w:t>
            </w:r>
            <w:r>
              <w:rPr>
                <w:rFonts w:hint="eastAsia" w:ascii="仿宋_GB2312" w:hAnsi="仿宋_GB2312" w:eastAsia="仿宋_GB2312" w:cs="仿宋_GB2312"/>
                <w:snapToGrid w:val="0"/>
                <w:spacing w:val="0"/>
                <w:kern w:val="0"/>
                <w:sz w:val="28"/>
                <w:szCs w:val="28"/>
                <w:lang w:val="en-US" w:eastAsia="en-US" w:bidi="ar-SA"/>
              </w:rPr>
              <w:t>名称</w:t>
            </w:r>
          </w:p>
        </w:tc>
        <w:tc>
          <w:tcPr>
            <w:tcW w:w="4901"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73" w:hRule="atLeast"/>
          <w:jc w:val="center"/>
        </w:trPr>
        <w:tc>
          <w:tcPr>
            <w:tcW w:w="146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270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zh-CN" w:bidi="ar-SA"/>
              </w:rPr>
              <w:t>生产经营</w:t>
            </w:r>
            <w:r>
              <w:rPr>
                <w:rFonts w:hint="eastAsia" w:ascii="仿宋_GB2312" w:hAnsi="仿宋_GB2312" w:eastAsia="仿宋_GB2312" w:cs="仿宋_GB2312"/>
                <w:snapToGrid w:val="0"/>
                <w:spacing w:val="0"/>
                <w:kern w:val="0"/>
                <w:sz w:val="28"/>
                <w:szCs w:val="28"/>
                <w:lang w:val="en-US" w:eastAsia="en-US" w:bidi="ar-SA"/>
              </w:rPr>
              <w:t>地址</w:t>
            </w:r>
          </w:p>
        </w:tc>
        <w:tc>
          <w:tcPr>
            <w:tcW w:w="4901"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73" w:hRule="atLeast"/>
          <w:jc w:val="center"/>
        </w:trPr>
        <w:tc>
          <w:tcPr>
            <w:tcW w:w="146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270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许可证/备案编号</w:t>
            </w:r>
          </w:p>
        </w:tc>
        <w:tc>
          <w:tcPr>
            <w:tcW w:w="4901"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35" w:hRule="atLeast"/>
          <w:jc w:val="center"/>
        </w:trPr>
        <w:tc>
          <w:tcPr>
            <w:tcW w:w="146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270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统一社会信用代码</w:t>
            </w:r>
          </w:p>
        </w:tc>
        <w:tc>
          <w:tcPr>
            <w:tcW w:w="4901"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27" w:hRule="atLeast"/>
          <w:jc w:val="center"/>
        </w:trPr>
        <w:tc>
          <w:tcPr>
            <w:tcW w:w="146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270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联系人</w:t>
            </w:r>
          </w:p>
        </w:tc>
        <w:tc>
          <w:tcPr>
            <w:tcW w:w="1237"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145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联系方式</w:t>
            </w:r>
          </w:p>
        </w:tc>
        <w:tc>
          <w:tcPr>
            <w:tcW w:w="221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30" w:hRule="atLeast"/>
          <w:jc w:val="center"/>
        </w:trPr>
        <w:tc>
          <w:tcPr>
            <w:tcW w:w="146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270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上次风险等级</w:t>
            </w:r>
          </w:p>
        </w:tc>
        <w:tc>
          <w:tcPr>
            <w:tcW w:w="4901"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12" w:hRule="atLeast"/>
          <w:jc w:val="center"/>
        </w:trPr>
        <w:tc>
          <w:tcPr>
            <w:tcW w:w="4170"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本次静态风险因素量化风险分值</w:t>
            </w:r>
          </w:p>
        </w:tc>
        <w:tc>
          <w:tcPr>
            <w:tcW w:w="1237"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1453"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本次风险</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等级得分</w:t>
            </w:r>
          </w:p>
        </w:tc>
        <w:tc>
          <w:tcPr>
            <w:tcW w:w="2211"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34" w:hRule="atLeast"/>
          <w:jc w:val="center"/>
        </w:trPr>
        <w:tc>
          <w:tcPr>
            <w:tcW w:w="4170"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本次动态风险因素量化风险分值</w:t>
            </w:r>
          </w:p>
        </w:tc>
        <w:tc>
          <w:tcPr>
            <w:tcW w:w="1237"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145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2211"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45" w:hRule="atLeast"/>
          <w:jc w:val="center"/>
        </w:trPr>
        <w:tc>
          <w:tcPr>
            <w:tcW w:w="4170"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通用信用风险量化分值</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（50:1折算）</w:t>
            </w:r>
          </w:p>
        </w:tc>
        <w:tc>
          <w:tcPr>
            <w:tcW w:w="1237"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145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c>
          <w:tcPr>
            <w:tcW w:w="2211"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834" w:hRule="atLeast"/>
          <w:jc w:val="center"/>
        </w:trPr>
        <w:tc>
          <w:tcPr>
            <w:tcW w:w="4170"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zh-CN" w:bidi="ar-SA"/>
              </w:rPr>
              <w:t>食品安全信用</w:t>
            </w:r>
            <w:r>
              <w:rPr>
                <w:rFonts w:hint="eastAsia" w:ascii="仿宋_GB2312" w:hAnsi="仿宋_GB2312" w:eastAsia="仿宋_GB2312" w:cs="仿宋_GB2312"/>
                <w:snapToGrid w:val="0"/>
                <w:spacing w:val="0"/>
                <w:kern w:val="0"/>
                <w:sz w:val="28"/>
                <w:szCs w:val="28"/>
                <w:lang w:val="en-US" w:eastAsia="en-US" w:bidi="ar-SA"/>
              </w:rPr>
              <w:t>风险等级评定</w:t>
            </w:r>
          </w:p>
        </w:tc>
        <w:tc>
          <w:tcPr>
            <w:tcW w:w="4901"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0" w:rightChars="0" w:firstLine="0"/>
              <w:jc w:val="left"/>
              <w:textAlignment w:val="auto"/>
              <w:rPr>
                <w:rFonts w:hint="eastAsia" w:ascii="仿宋_GB2312" w:hAnsi="仿宋_GB2312" w:eastAsia="仿宋_GB2312" w:cs="仿宋_GB2312"/>
                <w:sz w:val="28"/>
                <w:szCs w:val="28"/>
                <w:lang w:val="en-US" w:eastAsia="en-US"/>
              </w:rPr>
            </w:pPr>
            <w:r>
              <w:rPr>
                <w:rFonts w:hint="eastAsia" w:ascii="仿宋_GB2312" w:hAnsi="仿宋_GB2312" w:eastAsia="仿宋_GB2312" w:cs="仿宋_GB2312"/>
                <w:sz w:val="28"/>
                <w:szCs w:val="28"/>
                <w:lang w:val="en-US" w:eastAsia="en-US"/>
              </w:rPr>
              <w:t>□A级</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lang w:val="en-US" w:eastAsia="en-US"/>
              </w:rPr>
              <w:t>0－30（含）分</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0" w:rightChars="0" w:firstLine="0"/>
              <w:jc w:val="left"/>
              <w:textAlignment w:val="auto"/>
              <w:rPr>
                <w:rFonts w:hint="eastAsia" w:ascii="仿宋_GB2312" w:hAnsi="仿宋_GB2312" w:eastAsia="仿宋_GB2312" w:cs="仿宋_GB2312"/>
                <w:sz w:val="28"/>
                <w:szCs w:val="28"/>
                <w:lang w:val="en-US" w:eastAsia="en-US"/>
              </w:rPr>
            </w:pPr>
            <w:r>
              <w:rPr>
                <w:rFonts w:hint="eastAsia" w:ascii="仿宋_GB2312" w:hAnsi="仿宋_GB2312" w:eastAsia="仿宋_GB2312" w:cs="仿宋_GB2312"/>
                <w:sz w:val="28"/>
                <w:szCs w:val="28"/>
                <w:lang w:val="en-US" w:eastAsia="en-US"/>
              </w:rPr>
              <w:t>□B级</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lang w:val="en-US" w:eastAsia="en-US"/>
              </w:rPr>
              <w:t>30－45（含）分</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0" w:rightChars="0" w:firstLine="0"/>
              <w:jc w:val="left"/>
              <w:textAlignment w:val="auto"/>
              <w:rPr>
                <w:rFonts w:hint="eastAsia" w:ascii="仿宋_GB2312" w:hAnsi="仿宋_GB2312" w:eastAsia="仿宋_GB2312" w:cs="仿宋_GB2312"/>
                <w:sz w:val="28"/>
                <w:szCs w:val="28"/>
                <w:lang w:val="en-US" w:eastAsia="en-US"/>
              </w:rPr>
            </w:pPr>
            <w:r>
              <w:rPr>
                <w:rFonts w:hint="eastAsia" w:ascii="仿宋_GB2312" w:hAnsi="仿宋_GB2312" w:eastAsia="仿宋_GB2312" w:cs="仿宋_GB2312"/>
                <w:sz w:val="28"/>
                <w:szCs w:val="28"/>
                <w:lang w:val="en-US" w:eastAsia="en-US"/>
              </w:rPr>
              <w:t>□C级</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lang w:val="en-US" w:eastAsia="en-US"/>
              </w:rPr>
              <w:t>45－60（含）分</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0" w:rightChars="0" w:firstLine="0"/>
              <w:jc w:val="left"/>
              <w:textAlignment w:val="auto"/>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z w:val="28"/>
                <w:szCs w:val="28"/>
                <w:lang w:val="en-US" w:eastAsia="en-US"/>
              </w:rPr>
              <w:t>□</w:t>
            </w:r>
            <w:r>
              <w:rPr>
                <w:rFonts w:hint="eastAsia" w:ascii="仿宋_GB2312" w:hAnsi="仿宋_GB2312" w:eastAsia="仿宋_GB2312" w:cs="仿宋_GB2312"/>
                <w:snapToGrid w:val="0"/>
                <w:spacing w:val="0"/>
                <w:kern w:val="0"/>
                <w:sz w:val="28"/>
                <w:szCs w:val="28"/>
                <w:lang w:val="en-US" w:eastAsia="en-US" w:bidi="ar-SA"/>
              </w:rPr>
              <w:t>D级</w:t>
            </w:r>
            <w:r>
              <w:rPr>
                <w:rFonts w:hint="eastAsia" w:ascii="仿宋_GB2312" w:hAnsi="仿宋_GB2312" w:eastAsia="仿宋_GB2312" w:cs="仿宋_GB2312"/>
                <w:snapToGrid w:val="0"/>
                <w:spacing w:val="0"/>
                <w:kern w:val="0"/>
                <w:sz w:val="28"/>
                <w:szCs w:val="28"/>
                <w:lang w:val="en-US" w:eastAsia="zh-CN" w:bidi="ar-SA"/>
              </w:rPr>
              <w:t>：</w:t>
            </w:r>
            <w:r>
              <w:rPr>
                <w:rFonts w:hint="eastAsia" w:ascii="仿宋_GB2312" w:hAnsi="仿宋_GB2312" w:eastAsia="仿宋_GB2312" w:cs="仿宋_GB2312"/>
                <w:snapToGrid w:val="0"/>
                <w:spacing w:val="0"/>
                <w:kern w:val="0"/>
                <w:sz w:val="28"/>
                <w:szCs w:val="28"/>
                <w:lang w:val="en-US" w:eastAsia="en-US" w:bidi="ar-SA"/>
              </w:rPr>
              <w:t>60分以上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957" w:hRule="atLeast"/>
          <w:jc w:val="center"/>
        </w:trPr>
        <w:tc>
          <w:tcPr>
            <w:tcW w:w="146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outlineLvl w:val="9"/>
              <w:rPr>
                <w:rFonts w:hint="eastAsia" w:ascii="黑体" w:hAnsi="黑体" w:eastAsia="黑体" w:cs="黑体"/>
                <w:snapToGrid w:val="0"/>
                <w:spacing w:val="0"/>
                <w:kern w:val="0"/>
                <w:sz w:val="28"/>
                <w:szCs w:val="28"/>
                <w:lang w:val="en-US" w:eastAsia="zh-CN" w:bidi="ar-SA"/>
              </w:rPr>
            </w:pPr>
            <w:r>
              <w:rPr>
                <w:rFonts w:hint="eastAsia" w:ascii="黑体" w:hAnsi="黑体" w:eastAsia="黑体" w:cs="黑体"/>
                <w:snapToGrid w:val="0"/>
                <w:spacing w:val="0"/>
                <w:kern w:val="0"/>
                <w:sz w:val="28"/>
                <w:szCs w:val="28"/>
                <w:lang w:val="en-US" w:eastAsia="zh-CN" w:bidi="ar-SA"/>
              </w:rPr>
              <w:t>调整风险</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outlineLvl w:val="9"/>
              <w:rPr>
                <w:rFonts w:hint="eastAsia" w:ascii="黑体" w:hAnsi="黑体" w:eastAsia="黑体" w:cs="黑体"/>
                <w:snapToGrid w:val="0"/>
                <w:spacing w:val="0"/>
                <w:kern w:val="0"/>
                <w:sz w:val="28"/>
                <w:szCs w:val="28"/>
                <w:lang w:val="en-US" w:eastAsia="zh-CN" w:bidi="ar-SA"/>
              </w:rPr>
            </w:pPr>
            <w:r>
              <w:rPr>
                <w:rFonts w:hint="eastAsia" w:ascii="黑体" w:hAnsi="黑体" w:eastAsia="黑体" w:cs="黑体"/>
                <w:snapToGrid w:val="0"/>
                <w:spacing w:val="0"/>
                <w:kern w:val="0"/>
                <w:sz w:val="28"/>
                <w:szCs w:val="28"/>
                <w:lang w:val="en-US" w:eastAsia="zh-CN" w:bidi="ar-SA"/>
              </w:rPr>
              <w:t>等级的</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outlineLvl w:val="9"/>
              <w:rPr>
                <w:rFonts w:hint="eastAsia" w:ascii="黑体" w:hAnsi="黑体" w:eastAsia="黑体" w:cs="黑体"/>
                <w:snapToGrid w:val="0"/>
                <w:spacing w:val="0"/>
                <w:kern w:val="0"/>
                <w:sz w:val="28"/>
                <w:szCs w:val="28"/>
                <w:lang w:val="en-US" w:eastAsia="zh-CN" w:bidi="ar-SA"/>
              </w:rPr>
            </w:pPr>
            <w:r>
              <w:rPr>
                <w:rFonts w:hint="eastAsia" w:ascii="黑体" w:hAnsi="黑体" w:eastAsia="黑体" w:cs="黑体"/>
                <w:snapToGrid w:val="0"/>
                <w:spacing w:val="0"/>
                <w:kern w:val="0"/>
                <w:sz w:val="28"/>
                <w:szCs w:val="28"/>
                <w:lang w:val="en-US" w:eastAsia="zh-CN" w:bidi="ar-SA"/>
              </w:rPr>
              <w:t>情形</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outlineLvl w:val="9"/>
              <w:rPr>
                <w:rFonts w:hint="eastAsia" w:ascii="黑体" w:hAnsi="黑体" w:eastAsia="黑体" w:cs="黑体"/>
                <w:snapToGrid w:val="0"/>
                <w:spacing w:val="0"/>
                <w:kern w:val="0"/>
                <w:sz w:val="28"/>
                <w:szCs w:val="28"/>
                <w:lang w:val="en-US" w:eastAsia="zh-CN" w:bidi="ar-SA"/>
              </w:rPr>
            </w:pPr>
            <w:r>
              <w:rPr>
                <w:rFonts w:hint="eastAsia" w:ascii="黑体" w:hAnsi="黑体" w:eastAsia="黑体" w:cs="黑体"/>
                <w:snapToGrid w:val="0"/>
                <w:spacing w:val="0"/>
                <w:kern w:val="0"/>
                <w:sz w:val="28"/>
                <w:szCs w:val="28"/>
                <w:lang w:val="en-US" w:eastAsia="zh-CN" w:bidi="ar-SA"/>
              </w:rPr>
              <w:t>（在存在</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outlineLvl w:val="9"/>
              <w:rPr>
                <w:rFonts w:hint="eastAsia" w:ascii="黑体" w:hAnsi="黑体" w:eastAsia="黑体" w:cs="黑体"/>
                <w:snapToGrid w:val="0"/>
                <w:spacing w:val="0"/>
                <w:kern w:val="0"/>
                <w:sz w:val="28"/>
                <w:szCs w:val="28"/>
                <w:lang w:val="en-US" w:eastAsia="zh-CN" w:bidi="ar-SA"/>
              </w:rPr>
            </w:pPr>
            <w:r>
              <w:rPr>
                <w:rFonts w:hint="eastAsia" w:ascii="黑体" w:hAnsi="黑体" w:eastAsia="黑体" w:cs="黑体"/>
                <w:snapToGrid w:val="0"/>
                <w:spacing w:val="0"/>
                <w:kern w:val="0"/>
                <w:sz w:val="28"/>
                <w:szCs w:val="28"/>
                <w:lang w:val="en-US" w:eastAsia="zh-CN" w:bidi="ar-SA"/>
              </w:rPr>
              <w:t>的情形前</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outlineLvl w:val="9"/>
              <w:rPr>
                <w:rFonts w:ascii="微软雅黑" w:hAnsi="微软雅黑" w:eastAsia="微软雅黑" w:cs="微软雅黑"/>
                <w:snapToGrid w:val="0"/>
                <w:spacing w:val="0"/>
                <w:kern w:val="0"/>
                <w:sz w:val="28"/>
                <w:szCs w:val="28"/>
                <w:lang w:val="en-US" w:eastAsia="en-US" w:bidi="ar-SA"/>
              </w:rPr>
            </w:pPr>
            <w:r>
              <w:rPr>
                <w:rFonts w:hint="eastAsia" w:ascii="黑体" w:hAnsi="黑体" w:eastAsia="黑体" w:cs="黑体"/>
                <w:snapToGrid w:val="0"/>
                <w:spacing w:val="0"/>
                <w:kern w:val="0"/>
                <w:sz w:val="28"/>
                <w:szCs w:val="28"/>
                <w:lang w:val="en-US" w:eastAsia="zh-CN" w:bidi="ar-SA"/>
              </w:rPr>
              <w:t>打“√”)</w:t>
            </w:r>
          </w:p>
        </w:tc>
        <w:tc>
          <w:tcPr>
            <w:tcW w:w="7608" w:type="dxa"/>
            <w:gridSpan w:val="5"/>
            <w:tcBorders>
              <w:tl2br w:val="nil"/>
              <w:tr2bl w:val="nil"/>
            </w:tcBorders>
            <w:vAlign w:val="top"/>
          </w:tcPr>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黑体" w:hAnsi="黑体" w:eastAsia="黑体" w:cs="黑体"/>
                <w:snapToGrid w:val="0"/>
                <w:spacing w:val="0"/>
                <w:kern w:val="0"/>
                <w:sz w:val="28"/>
                <w:szCs w:val="28"/>
                <w:lang w:val="en-US" w:eastAsia="zh-CN" w:bidi="ar-SA"/>
              </w:rPr>
            </w:pPr>
            <w:r>
              <w:rPr>
                <w:rFonts w:hint="eastAsia" w:ascii="黑体" w:hAnsi="黑体" w:eastAsia="黑体" w:cs="黑体"/>
                <w:snapToGrid w:val="0"/>
                <w:spacing w:val="0"/>
                <w:kern w:val="0"/>
                <w:sz w:val="28"/>
                <w:szCs w:val="28"/>
                <w:lang w:val="en-US" w:eastAsia="zh-CN" w:bidi="ar-SA"/>
              </w:rPr>
              <w:t>一、存在上调风险等级的情形，应当调高1个风险等级：</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en-US" w:bidi="ar-SA"/>
              </w:rPr>
            </w:pPr>
            <w:r>
              <w:rPr>
                <w:rFonts w:hint="eastAsia" w:ascii="仿宋_GB2312" w:hAnsi="仿宋_GB2312" w:eastAsia="仿宋_GB2312" w:cs="仿宋_GB2312"/>
                <w:snapToGrid w:val="0"/>
                <w:spacing w:val="0"/>
                <w:kern w:val="0"/>
                <w:sz w:val="28"/>
                <w:szCs w:val="28"/>
                <w:lang w:val="en-US" w:eastAsia="en-US" w:bidi="ar-SA"/>
              </w:rPr>
              <w:t>□违反食品安全法律法规受到除警告、责令停产停业、吊销许可证之外的行政处罚的；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en-US" w:bidi="ar-SA"/>
              </w:rPr>
              <w:t>□生</w:t>
            </w:r>
            <w:r>
              <w:rPr>
                <w:rFonts w:hint="eastAsia" w:ascii="仿宋_GB2312" w:hAnsi="仿宋_GB2312" w:eastAsia="仿宋_GB2312" w:cs="仿宋_GB2312"/>
                <w:snapToGrid w:val="0"/>
                <w:spacing w:val="0"/>
                <w:kern w:val="0"/>
                <w:sz w:val="28"/>
                <w:szCs w:val="28"/>
                <w:lang w:val="en-US" w:eastAsia="zh-CN" w:bidi="ar-SA"/>
              </w:rPr>
              <w:t>产经营的食品被监督抽检不合格，且经查证未落实相关责任义务的；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□因食品安全问题被市场监管部门责任约谈的；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□开展公开自我承诺的食品生产经营者，未履行承诺的；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highlight w:val="none"/>
                <w:lang w:val="en-US" w:eastAsia="zh-CN" w:bidi="ar-SA"/>
              </w:rPr>
            </w:pPr>
            <w:r>
              <w:rPr>
                <w:rFonts w:hint="eastAsia" w:ascii="仿宋_GB2312" w:hAnsi="仿宋_GB2312" w:eastAsia="仿宋_GB2312" w:cs="仿宋_GB2312"/>
                <w:snapToGrid w:val="0"/>
                <w:spacing w:val="0"/>
                <w:kern w:val="0"/>
                <w:sz w:val="28"/>
                <w:szCs w:val="28"/>
                <w:lang w:val="en-US" w:eastAsia="zh-CN" w:bidi="ar-SA"/>
              </w:rPr>
              <w:t>□食品销售</w:t>
            </w:r>
            <w:r>
              <w:rPr>
                <w:rFonts w:hint="eastAsia" w:ascii="仿宋_GB2312" w:hAnsi="仿宋_GB2312" w:eastAsia="仿宋_GB2312" w:cs="仿宋_GB2312"/>
                <w:snapToGrid w:val="0"/>
                <w:spacing w:val="0"/>
                <w:kern w:val="0"/>
                <w:sz w:val="28"/>
                <w:szCs w:val="28"/>
                <w:highlight w:val="none"/>
                <w:lang w:val="en-US" w:eastAsia="zh-CN" w:bidi="ar-SA"/>
              </w:rPr>
              <w:t>者在经营场所内开展食品简单制售活动的；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highlight w:val="none"/>
                <w:lang w:val="en-US" w:eastAsia="zh-CN" w:bidi="ar-SA"/>
              </w:rPr>
            </w:pPr>
            <w:r>
              <w:rPr>
                <w:rFonts w:hint="eastAsia" w:ascii="仿宋_GB2312" w:hAnsi="仿宋_GB2312" w:eastAsia="仿宋_GB2312" w:cs="仿宋_GB2312"/>
                <w:snapToGrid w:val="0"/>
                <w:spacing w:val="0"/>
                <w:kern w:val="0"/>
                <w:sz w:val="28"/>
                <w:szCs w:val="28"/>
                <w:highlight w:val="none"/>
                <w:lang w:val="en-US" w:eastAsia="zh-CN" w:bidi="ar-SA"/>
              </w:rPr>
              <w:t>□</w:t>
            </w:r>
            <w:r>
              <w:rPr>
                <w:rFonts w:hint="eastAsia" w:ascii="仿宋_GB2312" w:hAnsi="仿宋_GB2312" w:eastAsia="仿宋_GB2312" w:cs="仿宋_GB2312"/>
                <w:snapToGrid w:val="0"/>
                <w:spacing w:val="6"/>
                <w:kern w:val="0"/>
                <w:sz w:val="28"/>
                <w:szCs w:val="28"/>
                <w:highlight w:val="none"/>
                <w:lang w:val="en-US" w:eastAsia="zh-CN" w:bidi="ar-SA"/>
              </w:rPr>
              <w:t>无堂食网络餐饮服务者或未实现“明厨亮灶”的餐饮服务者；</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highlight w:val="none"/>
                <w:lang w:val="en-US" w:eastAsia="zh-CN" w:bidi="ar-SA"/>
              </w:rPr>
            </w:pPr>
            <w:r>
              <w:rPr>
                <w:rFonts w:hint="eastAsia" w:ascii="仿宋_GB2312" w:hAnsi="仿宋_GB2312" w:eastAsia="仿宋_GB2312" w:cs="仿宋_GB2312"/>
                <w:snapToGrid w:val="0"/>
                <w:spacing w:val="0"/>
                <w:kern w:val="0"/>
                <w:sz w:val="28"/>
                <w:szCs w:val="28"/>
                <w:highlight w:val="none"/>
                <w:lang w:val="en-US" w:eastAsia="zh-CN" w:bidi="ar-SA"/>
              </w:rPr>
              <w:t>□未按要求配备食品安全总监或食品安全员，或未按要求落实“日管控、周排查、月调度”制度的；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highlight w:val="none"/>
                <w:lang w:val="en-US" w:eastAsia="zh-CN" w:bidi="ar-SA"/>
              </w:rPr>
            </w:pPr>
            <w:r>
              <w:rPr>
                <w:rFonts w:hint="eastAsia" w:ascii="仿宋_GB2312" w:hAnsi="仿宋_GB2312" w:eastAsia="仿宋_GB2312" w:cs="仿宋_GB2312"/>
                <w:snapToGrid w:val="0"/>
                <w:spacing w:val="0"/>
                <w:kern w:val="0"/>
                <w:sz w:val="28"/>
                <w:szCs w:val="28"/>
                <w:highlight w:val="none"/>
                <w:lang w:val="en-US" w:eastAsia="zh-CN" w:bidi="ar-SA"/>
              </w:rPr>
              <w:t xml:space="preserve">□违反食品安全法律法规规定，造成不良社会影响的； </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highlight w:val="none"/>
                <w:u w:val="single" w:color="auto"/>
                <w:lang w:val="en-US" w:eastAsia="en-US" w:bidi="ar-SA"/>
              </w:rPr>
            </w:pPr>
            <w:r>
              <w:rPr>
                <w:rFonts w:hint="eastAsia" w:ascii="仿宋_GB2312" w:hAnsi="仿宋_GB2312" w:eastAsia="仿宋_GB2312" w:cs="仿宋_GB2312"/>
                <w:snapToGrid w:val="0"/>
                <w:spacing w:val="0"/>
                <w:kern w:val="0"/>
                <w:sz w:val="28"/>
                <w:szCs w:val="28"/>
                <w:highlight w:val="none"/>
                <w:lang w:val="en-US" w:eastAsia="zh-CN" w:bidi="ar-SA"/>
              </w:rPr>
              <w:t>□其他应当调整的情形。</w:t>
            </w:r>
            <w:r>
              <w:rPr>
                <w:rFonts w:hint="eastAsia" w:ascii="仿宋_GB2312" w:hAnsi="仿宋_GB2312" w:eastAsia="仿宋_GB2312" w:cs="仿宋_GB2312"/>
                <w:snapToGrid w:val="0"/>
                <w:spacing w:val="0"/>
                <w:kern w:val="0"/>
                <w:sz w:val="28"/>
                <w:szCs w:val="28"/>
                <w:highlight w:val="none"/>
                <w:lang w:val="en-US" w:eastAsia="en-US" w:bidi="ar-SA"/>
              </w:rPr>
              <w:t>具体情形：</w:t>
            </w:r>
            <w:r>
              <w:rPr>
                <w:rFonts w:hint="eastAsia" w:ascii="仿宋_GB2312" w:hAnsi="仿宋_GB2312" w:eastAsia="仿宋_GB2312" w:cs="仿宋_GB2312"/>
                <w:snapToGrid w:val="0"/>
                <w:spacing w:val="0"/>
                <w:kern w:val="0"/>
                <w:sz w:val="28"/>
                <w:szCs w:val="28"/>
                <w:highlight w:val="none"/>
                <w:u w:val="single" w:color="auto"/>
                <w:lang w:val="en-US" w:eastAsia="en-US" w:bidi="ar-SA"/>
              </w:rPr>
              <w:t xml:space="preserve">                 </w:t>
            </w:r>
            <w:r>
              <w:rPr>
                <w:rFonts w:hint="eastAsia" w:ascii="仿宋_GB2312" w:hAnsi="仿宋_GB2312" w:eastAsia="仿宋_GB2312" w:cs="仿宋_GB2312"/>
                <w:snapToGrid w:val="0"/>
                <w:spacing w:val="0"/>
                <w:kern w:val="0"/>
                <w:sz w:val="28"/>
                <w:szCs w:val="28"/>
                <w:highlight w:val="none"/>
                <w:u w:val="single" w:color="auto"/>
                <w:lang w:val="en-US" w:eastAsia="zh-CN" w:bidi="ar-SA"/>
              </w:rPr>
              <w:t xml:space="preserve"> </w:t>
            </w:r>
            <w:r>
              <w:rPr>
                <w:rFonts w:hint="eastAsia" w:ascii="仿宋_GB2312" w:hAnsi="仿宋_GB2312" w:eastAsia="仿宋_GB2312" w:cs="仿宋_GB2312"/>
                <w:snapToGrid w:val="0"/>
                <w:spacing w:val="0"/>
                <w:kern w:val="0"/>
                <w:sz w:val="28"/>
                <w:szCs w:val="28"/>
                <w:highlight w:val="none"/>
                <w:u w:val="single" w:color="auto"/>
                <w:lang w:val="en-US" w:eastAsia="en-US" w:bidi="ar-SA"/>
              </w:rPr>
              <w:t xml:space="preserve">  </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highlight w:val="none"/>
                <w:u w:val="single" w:color="auto"/>
                <w:lang w:val="en-US" w:eastAsia="en-US" w:bidi="ar-SA"/>
              </w:rPr>
            </w:pPr>
            <w:r>
              <w:rPr>
                <w:rFonts w:hint="eastAsia" w:ascii="仿宋_GB2312" w:hAnsi="仿宋_GB2312" w:eastAsia="仿宋_GB2312" w:cs="仿宋_GB2312"/>
                <w:snapToGrid w:val="0"/>
                <w:spacing w:val="0"/>
                <w:kern w:val="0"/>
                <w:sz w:val="28"/>
                <w:szCs w:val="28"/>
                <w:highlight w:val="none"/>
                <w:u w:val="single" w:color="auto"/>
                <w:lang w:val="en-US" w:eastAsia="en-US" w:bidi="ar-SA"/>
              </w:rPr>
              <w:t xml:space="preserve">                                                    </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highlight w:val="none"/>
                <w:u w:val="single" w:color="auto"/>
                <w:lang w:val="en-US" w:eastAsia="en-US" w:bidi="ar-SA"/>
              </w:rPr>
            </w:pP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黑体" w:hAnsi="黑体" w:eastAsia="黑体" w:cs="黑体"/>
                <w:snapToGrid w:val="0"/>
                <w:spacing w:val="0"/>
                <w:kern w:val="0"/>
                <w:sz w:val="28"/>
                <w:szCs w:val="28"/>
                <w:highlight w:val="none"/>
                <w:lang w:val="en-US" w:eastAsia="zh-CN" w:bidi="ar-SA"/>
              </w:rPr>
            </w:pPr>
            <w:r>
              <w:rPr>
                <w:rFonts w:hint="eastAsia" w:ascii="黑体" w:hAnsi="黑体" w:eastAsia="黑体" w:cs="黑体"/>
                <w:snapToGrid w:val="0"/>
                <w:spacing w:val="0"/>
                <w:kern w:val="0"/>
                <w:sz w:val="28"/>
                <w:szCs w:val="28"/>
                <w:highlight w:val="none"/>
                <w:lang w:val="en-US" w:eastAsia="zh-CN" w:bidi="ar-SA"/>
              </w:rPr>
              <w:t>二、存在下调风险等级的情形，建议调低1个风险等级：</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highlight w:val="none"/>
                <w:lang w:val="en-US" w:eastAsia="zh-CN" w:bidi="ar-SA"/>
              </w:rPr>
            </w:pPr>
            <w:r>
              <w:rPr>
                <w:rFonts w:hint="eastAsia" w:ascii="仿宋_GB2312" w:hAnsi="仿宋_GB2312" w:eastAsia="仿宋_GB2312" w:cs="仿宋_GB2312"/>
                <w:snapToGrid w:val="0"/>
                <w:spacing w:val="0"/>
                <w:kern w:val="0"/>
                <w:sz w:val="28"/>
                <w:szCs w:val="28"/>
                <w:highlight w:val="none"/>
                <w:lang w:val="en-US" w:eastAsia="en-US" w:bidi="ar-SA"/>
              </w:rPr>
              <w:t>□</w:t>
            </w:r>
            <w:r>
              <w:rPr>
                <w:rFonts w:hint="eastAsia" w:ascii="仿宋_GB2312" w:hAnsi="仿宋_GB2312" w:eastAsia="仿宋_GB2312" w:cs="仿宋_GB2312"/>
                <w:snapToGrid w:val="0"/>
                <w:spacing w:val="0"/>
                <w:kern w:val="0"/>
                <w:sz w:val="28"/>
                <w:szCs w:val="28"/>
                <w:highlight w:val="none"/>
                <w:lang w:val="en-US" w:eastAsia="zh-CN" w:bidi="ar-SA"/>
              </w:rPr>
              <w:t>连续三年食品安全监管记录没有违反本规范第十六条（第五款除外）和第十七条所列情形的；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en-US" w:bidi="ar-SA"/>
              </w:rPr>
              <w:t>□</w:t>
            </w:r>
            <w:r>
              <w:rPr>
                <w:rFonts w:hint="eastAsia" w:ascii="仿宋_GB2312" w:hAnsi="仿宋_GB2312" w:eastAsia="仿宋_GB2312" w:cs="仿宋_GB2312"/>
                <w:snapToGrid w:val="0"/>
                <w:spacing w:val="0"/>
                <w:kern w:val="0"/>
                <w:sz w:val="28"/>
                <w:szCs w:val="28"/>
                <w:lang w:val="en-US" w:eastAsia="zh-CN" w:bidi="ar-SA"/>
              </w:rPr>
              <w:t>获得县级以上人民政府质量奖的；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en-US" w:bidi="ar-SA"/>
              </w:rPr>
              <w:t>□</w:t>
            </w:r>
            <w:r>
              <w:rPr>
                <w:rFonts w:hint="eastAsia" w:ascii="仿宋_GB2312" w:hAnsi="仿宋_GB2312" w:eastAsia="仿宋_GB2312" w:cs="仿宋_GB2312"/>
                <w:snapToGrid w:val="0"/>
                <w:spacing w:val="0"/>
                <w:kern w:val="0"/>
                <w:sz w:val="28"/>
                <w:szCs w:val="28"/>
                <w:lang w:val="en-US" w:eastAsia="zh-CN" w:bidi="ar-SA"/>
              </w:rPr>
              <w:t>通过HACCP、ISO9001、FSSC2200等质量安全体系认证的，或通过具备相关资质的食品安全第三方专业机构食品安全状况评价的（特殊医学用途配方食品、婴幼儿配方乳粉企业除外）；</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en-US" w:bidi="ar-SA"/>
              </w:rPr>
              <w:t>□</w:t>
            </w:r>
            <w:r>
              <w:rPr>
                <w:rFonts w:hint="eastAsia" w:ascii="仿宋_GB2312" w:hAnsi="仿宋_GB2312" w:eastAsia="仿宋_GB2312" w:cs="仿宋_GB2312"/>
                <w:snapToGrid w:val="0"/>
                <w:spacing w:val="0"/>
                <w:kern w:val="0"/>
                <w:sz w:val="28"/>
                <w:szCs w:val="28"/>
                <w:lang w:val="en-US" w:eastAsia="zh-CN" w:bidi="ar-SA"/>
              </w:rPr>
              <w:t>建立食品安全追溯体系，有效实施食品安全信息追溯管理，且追溯信息可供公众查询的；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en-US" w:bidi="ar-SA"/>
              </w:rPr>
              <w:t>□</w:t>
            </w:r>
            <w:r>
              <w:rPr>
                <w:rFonts w:hint="eastAsia" w:ascii="仿宋_GB2312" w:hAnsi="仿宋_GB2312" w:eastAsia="仿宋_GB2312" w:cs="仿宋_GB2312"/>
                <w:snapToGrid w:val="0"/>
                <w:spacing w:val="0"/>
                <w:kern w:val="0"/>
                <w:sz w:val="28"/>
                <w:szCs w:val="28"/>
                <w:lang w:val="en-US" w:eastAsia="zh-CN" w:bidi="ar-SA"/>
              </w:rPr>
              <w:t>实现食品生产经营制作过程全部可视化且全面公开的；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en-US" w:bidi="ar-SA"/>
              </w:rPr>
              <w:t>□</w:t>
            </w:r>
            <w:r>
              <w:rPr>
                <w:rFonts w:hint="eastAsia" w:ascii="仿宋_GB2312" w:hAnsi="仿宋_GB2312" w:eastAsia="仿宋_GB2312" w:cs="仿宋_GB2312"/>
                <w:snapToGrid w:val="0"/>
                <w:spacing w:val="0"/>
                <w:kern w:val="0"/>
                <w:sz w:val="28"/>
                <w:szCs w:val="28"/>
                <w:lang w:val="en-US" w:eastAsia="zh-CN" w:bidi="ar-SA"/>
              </w:rPr>
              <w:t>获得科技型企业、高新技术企业、科技型中小企业或专精特新企业认定的；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en-US" w:bidi="ar-SA"/>
              </w:rPr>
              <w:t>□</w:t>
            </w:r>
            <w:r>
              <w:rPr>
                <w:rFonts w:hint="eastAsia" w:ascii="仿宋_GB2312" w:hAnsi="仿宋_GB2312" w:eastAsia="仿宋_GB2312" w:cs="仿宋_GB2312"/>
                <w:snapToGrid w:val="0"/>
                <w:spacing w:val="0"/>
                <w:kern w:val="0"/>
                <w:sz w:val="28"/>
                <w:szCs w:val="28"/>
                <w:lang w:val="en-US" w:eastAsia="zh-CN" w:bidi="ar-SA"/>
              </w:rPr>
              <w:t>食品安全管理经验被设区市级以上市场监管部门认可并推广的；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en-US" w:bidi="ar-SA"/>
              </w:rPr>
              <w:t>□</w:t>
            </w:r>
            <w:r>
              <w:rPr>
                <w:rFonts w:hint="eastAsia" w:ascii="仿宋_GB2312" w:hAnsi="仿宋_GB2312" w:eastAsia="仿宋_GB2312" w:cs="仿宋_GB2312"/>
                <w:snapToGrid w:val="0"/>
                <w:spacing w:val="0"/>
                <w:kern w:val="0"/>
                <w:sz w:val="28"/>
                <w:szCs w:val="28"/>
                <w:lang w:val="en-US" w:eastAsia="zh-CN" w:bidi="ar-SA"/>
              </w:rPr>
              <w:t>非高风险食品类别生产企业或食品经营者购买食品安全责任保险的；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u w:val="single" w:color="auto"/>
                <w:lang w:val="en-US" w:eastAsia="en-US" w:bidi="ar-SA"/>
              </w:rPr>
            </w:pPr>
            <w:r>
              <w:rPr>
                <w:rFonts w:hint="eastAsia" w:ascii="仿宋_GB2312" w:hAnsi="仿宋_GB2312" w:eastAsia="仿宋_GB2312" w:cs="仿宋_GB2312"/>
                <w:snapToGrid w:val="0"/>
                <w:spacing w:val="0"/>
                <w:kern w:val="0"/>
                <w:sz w:val="28"/>
                <w:szCs w:val="28"/>
                <w:lang w:val="en-US" w:eastAsia="en-US" w:bidi="ar-SA"/>
              </w:rPr>
              <w:t>□</w:t>
            </w:r>
            <w:r>
              <w:rPr>
                <w:rFonts w:hint="eastAsia" w:ascii="仿宋_GB2312" w:hAnsi="仿宋_GB2312" w:eastAsia="仿宋_GB2312" w:cs="仿宋_GB2312"/>
                <w:snapToGrid w:val="0"/>
                <w:spacing w:val="0"/>
                <w:kern w:val="0"/>
                <w:sz w:val="28"/>
                <w:szCs w:val="28"/>
                <w:lang w:val="en-US" w:eastAsia="zh-CN" w:bidi="ar-SA"/>
              </w:rPr>
              <w:t>其他可以调整的情形。</w:t>
            </w:r>
            <w:r>
              <w:rPr>
                <w:rFonts w:hint="eastAsia" w:ascii="仿宋_GB2312" w:hAnsi="仿宋_GB2312" w:eastAsia="仿宋_GB2312" w:cs="仿宋_GB2312"/>
                <w:snapToGrid w:val="0"/>
                <w:spacing w:val="0"/>
                <w:kern w:val="0"/>
                <w:sz w:val="28"/>
                <w:szCs w:val="28"/>
                <w:lang w:val="en-US" w:eastAsia="en-US" w:bidi="ar-SA"/>
              </w:rPr>
              <w:t>具体情形：</w:t>
            </w:r>
            <w:r>
              <w:rPr>
                <w:rFonts w:hint="eastAsia" w:ascii="仿宋_GB2312" w:hAnsi="仿宋_GB2312" w:eastAsia="仿宋_GB2312" w:cs="仿宋_GB2312"/>
                <w:snapToGrid w:val="0"/>
                <w:spacing w:val="0"/>
                <w:kern w:val="0"/>
                <w:sz w:val="28"/>
                <w:szCs w:val="28"/>
                <w:u w:val="single" w:color="auto"/>
                <w:lang w:val="en-US" w:eastAsia="en-US" w:bidi="ar-SA"/>
              </w:rPr>
              <w:t xml:space="preserve">                     </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黑体" w:hAnsi="黑体" w:eastAsia="黑体" w:cs="黑体"/>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u w:val="single" w:color="auto"/>
                <w:lang w:val="en-US" w:eastAsia="en-US" w:bidi="ar-SA"/>
              </w:rPr>
              <w:t xml:space="preserve">                                                            </w:t>
            </w:r>
            <w:r>
              <w:rPr>
                <w:rFonts w:hint="eastAsia" w:ascii="黑体" w:hAnsi="黑体" w:eastAsia="黑体" w:cs="黑体"/>
                <w:snapToGrid w:val="0"/>
                <w:spacing w:val="0"/>
                <w:kern w:val="0"/>
                <w:sz w:val="28"/>
                <w:szCs w:val="28"/>
                <w:lang w:val="en-US" w:eastAsia="zh-CN" w:bidi="ar-SA"/>
              </w:rPr>
              <w:t>三、存在下调风险等级的情形，应当直接调整为D级：</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□拒绝、逃避、阻挠执法人员进行监督检查，或者拒不配合执法人员进行案件调查的。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□隐匿、销毁、伪造相关材料的；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□违反食品安全法律法规受到责令停产停业处罚的，或累计两次因违反食品安全法律法规受到警告、责令停产停业、吊销许可证以外处罚的；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□出现三批次及以上监督抽检不合格的或二十四个月内特殊食品生产企业累计出现三批次及以上监督抽检不合格的，且经查证未落实相关责任义务的；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□食品生产者出现非法添加、掺杂掺假、以次充好、对违法行为屡查屡犯等恶意违法行为的；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□不按规定召回或者停止生产经营的；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□危害婴幼儿、老年人、病人和孕产妇等特定人群身体健康和生命安全的；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□发生一般及以上食品安全事故；</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□被列入严重违法失信名单；</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□违反食品安全法律法规规定，造成严重不良社会影响的；</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default" w:ascii="仿宋_GB2312" w:hAnsi="仿宋_GB2312" w:eastAsia="仿宋_GB2312" w:cs="仿宋_GB2312"/>
                <w:snapToGrid w:val="0"/>
                <w:spacing w:val="0"/>
                <w:kern w:val="0"/>
                <w:sz w:val="28"/>
                <w:szCs w:val="28"/>
                <w:u w:val="single" w:color="auto"/>
                <w:lang w:val="en-US" w:eastAsia="zh-CN" w:bidi="ar-SA"/>
              </w:rPr>
            </w:pPr>
            <w:r>
              <w:rPr>
                <w:rFonts w:hint="eastAsia" w:ascii="仿宋_GB2312" w:hAnsi="仿宋_GB2312" w:eastAsia="仿宋_GB2312" w:cs="仿宋_GB2312"/>
                <w:snapToGrid w:val="0"/>
                <w:spacing w:val="0"/>
                <w:kern w:val="0"/>
                <w:sz w:val="28"/>
                <w:szCs w:val="28"/>
                <w:lang w:val="en-US" w:eastAsia="zh-CN" w:bidi="ar-SA"/>
              </w:rPr>
              <w:t>□其他应当调整的情形。具体情形</w:t>
            </w:r>
            <w:r>
              <w:rPr>
                <w:rFonts w:hint="eastAsia" w:ascii="仿宋_GB2312" w:hAnsi="仿宋_GB2312" w:eastAsia="仿宋_GB2312" w:cs="仿宋_GB2312"/>
                <w:snapToGrid w:val="0"/>
                <w:spacing w:val="0"/>
                <w:kern w:val="0"/>
                <w:sz w:val="28"/>
                <w:szCs w:val="28"/>
                <w:lang w:val="en-US" w:eastAsia="en-US" w:bidi="ar-SA"/>
              </w:rPr>
              <w:t>：</w:t>
            </w:r>
            <w:r>
              <w:rPr>
                <w:rFonts w:hint="eastAsia" w:ascii="仿宋_GB2312" w:hAnsi="仿宋_GB2312" w:eastAsia="仿宋_GB2312" w:cs="仿宋_GB2312"/>
                <w:snapToGrid w:val="0"/>
                <w:spacing w:val="0"/>
                <w:kern w:val="0"/>
                <w:sz w:val="28"/>
                <w:szCs w:val="28"/>
                <w:u w:val="single" w:color="auto"/>
                <w:lang w:val="en-US" w:eastAsia="en-US" w:bidi="ar-SA"/>
              </w:rPr>
              <w:t xml:space="preserve">          </w:t>
            </w:r>
            <w:r>
              <w:rPr>
                <w:rFonts w:hint="eastAsia" w:ascii="仿宋_GB2312" w:hAnsi="仿宋_GB2312" w:eastAsia="仿宋_GB2312" w:cs="仿宋_GB2312"/>
                <w:snapToGrid w:val="0"/>
                <w:spacing w:val="0"/>
                <w:kern w:val="0"/>
                <w:sz w:val="28"/>
                <w:szCs w:val="28"/>
                <w:u w:val="single" w:color="auto"/>
                <w:lang w:val="en-US" w:eastAsia="zh-CN" w:bidi="ar-SA"/>
              </w:rPr>
              <w:t xml:space="preserve">           </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u w:val="single" w:color="auto"/>
                <w:lang w:val="en-US" w:eastAsia="en-US" w:bidi="ar-SA"/>
              </w:rPr>
              <w:t xml:space="preserve">                                          </w:t>
            </w:r>
            <w:r>
              <w:rPr>
                <w:rFonts w:hint="eastAsia" w:ascii="仿宋_GB2312" w:hAnsi="仿宋_GB2312" w:eastAsia="仿宋_GB2312" w:cs="仿宋_GB2312"/>
                <w:snapToGrid w:val="0"/>
                <w:spacing w:val="0"/>
                <w:kern w:val="0"/>
                <w:sz w:val="28"/>
                <w:szCs w:val="28"/>
                <w:u w:val="single" w:color="auto"/>
                <w:lang w:val="en-US" w:eastAsia="zh-CN" w:bidi="ar-SA"/>
              </w:rPr>
              <w:t xml:space="preserve">       </w:t>
            </w:r>
            <w:r>
              <w:rPr>
                <w:rFonts w:hint="eastAsia" w:ascii="仿宋_GB2312" w:hAnsi="仿宋_GB2312" w:eastAsia="仿宋_GB2312" w:cs="仿宋_GB2312"/>
                <w:snapToGrid w:val="0"/>
                <w:spacing w:val="0"/>
                <w:kern w:val="0"/>
                <w:sz w:val="28"/>
                <w:szCs w:val="28"/>
                <w:u w:val="single" w:color="auto"/>
                <w:lang w:val="en-US" w:eastAsia="en-US" w:bidi="ar-SA"/>
              </w:rPr>
              <w:t xml:space="preserve">     </w:t>
            </w:r>
            <w:r>
              <w:rPr>
                <w:rFonts w:hint="eastAsia" w:ascii="仿宋_GB2312" w:hAnsi="仿宋_GB2312" w:eastAsia="仿宋_GB2312" w:cs="仿宋_GB2312"/>
                <w:snapToGrid w:val="0"/>
                <w:spacing w:val="0"/>
                <w:kern w:val="0"/>
                <w:sz w:val="28"/>
                <w:szCs w:val="28"/>
                <w:lang w:val="en-US" w:eastAsia="zh-CN" w:bidi="ar-SA"/>
              </w:rPr>
              <w:t xml:space="preserve">                                                                                 </w:t>
            </w:r>
          </w:p>
          <w:p>
            <w:pPr>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firstLine="0"/>
              <w:jc w:val="left"/>
              <w:textAlignment w:val="auto"/>
              <w:outlineLvl w:val="9"/>
              <w:rPr>
                <w:rFonts w:hint="eastAsia" w:ascii="仿宋_GB2312" w:hAnsi="仿宋_GB2312" w:eastAsia="仿宋_GB2312" w:cs="仿宋_GB2312"/>
                <w:snapToGrid w:val="0"/>
                <w:spacing w:val="0"/>
                <w:kern w:val="0"/>
                <w:sz w:val="28"/>
                <w:szCs w:val="28"/>
                <w:lang w:val="en-US" w:eastAsia="zh-CN" w:bidi="ar-SA"/>
              </w:rPr>
            </w:pPr>
            <w:r>
              <w:rPr>
                <w:rFonts w:hint="eastAsia" w:ascii="仿宋_GB2312" w:hAnsi="仿宋_GB2312" w:eastAsia="仿宋_GB2312" w:cs="仿宋_GB2312"/>
                <w:snapToGrid w:val="0"/>
                <w:spacing w:val="0"/>
                <w:kern w:val="0"/>
                <w:sz w:val="28"/>
                <w:szCs w:val="28"/>
                <w:lang w:val="en-US" w:eastAsia="zh-CN" w:bidi="ar-SA"/>
              </w:rPr>
              <w:t>□</w:t>
            </w:r>
            <w:r>
              <w:rPr>
                <w:rFonts w:hint="eastAsia" w:ascii="黑体" w:hAnsi="黑体" w:eastAsia="黑体" w:cs="黑体"/>
                <w:snapToGrid w:val="0"/>
                <w:spacing w:val="0"/>
                <w:kern w:val="0"/>
                <w:sz w:val="28"/>
                <w:szCs w:val="28"/>
                <w:lang w:val="en-US" w:eastAsia="zh-CN" w:bidi="ar-SA"/>
              </w:rPr>
              <w:t>四、不存在调整风险等级的情形</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both"/>
              <w:textAlignment w:val="auto"/>
              <w:outlineLvl w:val="9"/>
              <w:rPr>
                <w:rFonts w:hint="eastAsia" w:ascii="黑体" w:hAnsi="黑体" w:eastAsia="黑体" w:cs="黑体"/>
                <w:snapToGrid w:val="0"/>
                <w:spacing w:val="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45" w:hRule="atLeast"/>
          <w:jc w:val="center"/>
        </w:trPr>
        <w:tc>
          <w:tcPr>
            <w:tcW w:w="4434" w:type="dxa"/>
            <w:gridSpan w:val="3"/>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黑体" w:hAnsi="黑体" w:eastAsia="黑体" w:cs="黑体"/>
                <w:snapToGrid w:val="0"/>
                <w:spacing w:val="0"/>
                <w:kern w:val="0"/>
                <w:sz w:val="28"/>
                <w:szCs w:val="28"/>
                <w:lang w:val="en-US" w:eastAsia="en-US" w:bidi="ar-SA"/>
              </w:rPr>
            </w:pPr>
            <w:r>
              <w:rPr>
                <w:rFonts w:hint="eastAsia" w:ascii="黑体" w:hAnsi="黑体" w:eastAsia="黑体" w:cs="黑体"/>
                <w:snapToGrid w:val="0"/>
                <w:spacing w:val="0"/>
                <w:kern w:val="0"/>
                <w:sz w:val="28"/>
                <w:szCs w:val="28"/>
                <w:lang w:val="en-US" w:eastAsia="en-US" w:bidi="ar-SA"/>
              </w:rPr>
              <w:t>本次评定等级建议</w:t>
            </w:r>
          </w:p>
        </w:tc>
        <w:tc>
          <w:tcPr>
            <w:tcW w:w="4637" w:type="dxa"/>
            <w:gridSpan w:val="3"/>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firstLine="0"/>
              <w:jc w:val="center"/>
              <w:textAlignment w:val="auto"/>
              <w:rPr>
                <w:rFonts w:hint="eastAsia" w:ascii="黑体" w:hAnsi="黑体" w:eastAsia="黑体" w:cs="黑体"/>
                <w:snapToGrid w:val="0"/>
                <w:spacing w:val="0"/>
                <w:kern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2925" w:hRule="atLeast"/>
          <w:jc w:val="center"/>
        </w:trPr>
        <w:tc>
          <w:tcPr>
            <w:tcW w:w="4434" w:type="dxa"/>
            <w:gridSpan w:val="3"/>
            <w:tcBorders>
              <w:tl2br w:val="nil"/>
              <w:tr2bl w:val="nil"/>
            </w:tcBorders>
            <w:vAlign w:val="top"/>
          </w:tcPr>
          <w:p>
            <w:pPr>
              <w:keepNext w:val="0"/>
              <w:keepLines w:val="0"/>
              <w:pageBreakBefore w:val="0"/>
              <w:widowControl w:val="0"/>
              <w:kinsoku/>
              <w:wordWrap/>
              <w:overflowPunct w:val="0"/>
              <w:topLinePunct w:val="0"/>
              <w:autoSpaceDE/>
              <w:autoSpaceDN/>
              <w:bidi w:val="0"/>
              <w:adjustRightInd w:val="0"/>
              <w:snapToGrid w:val="0"/>
              <w:spacing w:before="163" w:beforeLines="50" w:line="240" w:lineRule="auto"/>
              <w:ind w:left="105" w:leftChars="50" w:right="0" w:rightChars="0" w:firstLine="0"/>
              <w:jc w:val="both"/>
              <w:textAlignment w:val="auto"/>
              <w:rPr>
                <w:rFonts w:hint="eastAsia" w:ascii="黑体" w:hAnsi="黑体" w:eastAsia="黑体" w:cs="黑体"/>
                <w:snapToGrid w:val="0"/>
                <w:spacing w:val="0"/>
                <w:kern w:val="0"/>
                <w:sz w:val="28"/>
                <w:szCs w:val="28"/>
                <w:lang w:val="en-US" w:eastAsia="en-US" w:bidi="ar-SA"/>
              </w:rPr>
            </w:pPr>
            <w:r>
              <w:rPr>
                <w:rFonts w:hint="eastAsia" w:ascii="黑体" w:hAnsi="黑体" w:eastAsia="黑体" w:cs="黑体"/>
                <w:snapToGrid w:val="0"/>
                <w:spacing w:val="0"/>
                <w:kern w:val="0"/>
                <w:sz w:val="28"/>
                <w:szCs w:val="28"/>
                <w:lang w:val="en-US" w:eastAsia="en-US" w:bidi="ar-SA"/>
              </w:rPr>
              <w:t>检查人员签名：</w:t>
            </w:r>
          </w:p>
          <w:p>
            <w:pPr>
              <w:pStyle w:val="2"/>
              <w:keepNext w:val="0"/>
              <w:keepLines w:val="0"/>
              <w:pageBreakBefore w:val="0"/>
              <w:widowControl w:val="0"/>
              <w:kinsoku/>
              <w:wordWrap/>
              <w:overflowPunct w:val="0"/>
              <w:topLinePunct w:val="0"/>
              <w:autoSpaceDE/>
              <w:autoSpaceDN/>
              <w:bidi w:val="0"/>
              <w:adjustRightInd w:val="0"/>
              <w:snapToGrid w:val="0"/>
              <w:spacing w:before="163" w:beforeLines="50" w:after="0" w:line="240" w:lineRule="auto"/>
              <w:ind w:left="0" w:leftChars="0" w:right="0" w:rightChars="0" w:firstLine="0"/>
              <w:textAlignment w:val="auto"/>
              <w:rPr>
                <w:rFonts w:hint="eastAsia" w:ascii="黑体" w:hAnsi="黑体" w:eastAsia="黑体" w:cs="黑体"/>
                <w:snapToGrid w:val="0"/>
                <w:spacing w:val="0"/>
                <w:kern w:val="0"/>
                <w:sz w:val="28"/>
                <w:szCs w:val="28"/>
              </w:rPr>
            </w:pPr>
          </w:p>
          <w:p>
            <w:pPr>
              <w:pStyle w:val="3"/>
              <w:keepNext w:val="0"/>
              <w:keepLines w:val="0"/>
              <w:pageBreakBefore w:val="0"/>
              <w:widowControl w:val="0"/>
              <w:kinsoku/>
              <w:wordWrap/>
              <w:overflowPunct w:val="0"/>
              <w:topLinePunct w:val="0"/>
              <w:autoSpaceDE/>
              <w:autoSpaceDN/>
              <w:bidi w:val="0"/>
              <w:adjustRightInd w:val="0"/>
              <w:snapToGrid w:val="0"/>
              <w:spacing w:before="163" w:beforeLines="50" w:after="0" w:line="240" w:lineRule="auto"/>
              <w:ind w:left="0" w:leftChars="0" w:right="0" w:rightChars="0" w:firstLine="0" w:firstLineChars="0"/>
              <w:textAlignment w:val="auto"/>
              <w:rPr>
                <w:rFonts w:hint="eastAsia" w:ascii="黑体" w:hAnsi="黑体" w:eastAsia="黑体" w:cs="黑体"/>
                <w:snapToGrid w:val="0"/>
                <w:spacing w:val="0"/>
                <w:kern w:val="0"/>
                <w:sz w:val="28"/>
                <w:szCs w:val="28"/>
              </w:rPr>
            </w:pPr>
          </w:p>
          <w:p>
            <w:pPr>
              <w:pStyle w:val="3"/>
              <w:keepNext w:val="0"/>
              <w:keepLines w:val="0"/>
              <w:pageBreakBefore w:val="0"/>
              <w:widowControl w:val="0"/>
              <w:kinsoku/>
              <w:wordWrap/>
              <w:overflowPunct w:val="0"/>
              <w:topLinePunct w:val="0"/>
              <w:autoSpaceDE/>
              <w:autoSpaceDN/>
              <w:bidi w:val="0"/>
              <w:adjustRightInd w:val="0"/>
              <w:snapToGrid w:val="0"/>
              <w:spacing w:before="163" w:beforeLines="50" w:after="0" w:line="240" w:lineRule="auto"/>
              <w:ind w:left="0" w:leftChars="0" w:right="0" w:rightChars="0" w:firstLine="0"/>
              <w:textAlignment w:val="auto"/>
              <w:rPr>
                <w:rFonts w:hint="eastAsia" w:ascii="黑体" w:hAnsi="黑体" w:eastAsia="黑体" w:cs="黑体"/>
                <w:snapToGrid w:val="0"/>
                <w:spacing w:val="0"/>
                <w:kern w:val="0"/>
                <w:sz w:val="28"/>
                <w:szCs w:val="28"/>
              </w:rPr>
            </w:pPr>
          </w:p>
          <w:p>
            <w:pPr>
              <w:keepNext w:val="0"/>
              <w:keepLines w:val="0"/>
              <w:pageBreakBefore w:val="0"/>
              <w:widowControl w:val="0"/>
              <w:kinsoku/>
              <w:wordWrap/>
              <w:overflowPunct w:val="0"/>
              <w:topLinePunct w:val="0"/>
              <w:autoSpaceDE/>
              <w:autoSpaceDN/>
              <w:bidi w:val="0"/>
              <w:adjustRightInd w:val="0"/>
              <w:snapToGrid w:val="0"/>
              <w:spacing w:before="163" w:beforeLines="50" w:line="240" w:lineRule="auto"/>
              <w:ind w:left="0" w:leftChars="0" w:right="0" w:rightChars="0" w:firstLine="0"/>
              <w:jc w:val="center"/>
              <w:textAlignment w:val="auto"/>
              <w:rPr>
                <w:rFonts w:hint="default" w:ascii="黑体" w:hAnsi="黑体" w:eastAsia="黑体" w:cs="黑体"/>
                <w:snapToGrid w:val="0"/>
                <w:spacing w:val="0"/>
                <w:kern w:val="0"/>
                <w:sz w:val="28"/>
                <w:szCs w:val="28"/>
                <w:lang w:val="en-US" w:eastAsia="zh-CN" w:bidi="ar-SA"/>
              </w:rPr>
            </w:pPr>
            <w:r>
              <w:rPr>
                <w:rFonts w:hint="eastAsia" w:ascii="黑体" w:hAnsi="黑体" w:eastAsia="黑体" w:cs="黑体"/>
                <w:snapToGrid w:val="0"/>
                <w:spacing w:val="0"/>
                <w:kern w:val="0"/>
                <w:sz w:val="28"/>
                <w:szCs w:val="28"/>
                <w:lang w:val="en-US" w:eastAsia="zh-CN" w:bidi="ar-SA"/>
              </w:rPr>
              <w:t xml:space="preserve">  </w:t>
            </w:r>
            <w:r>
              <w:rPr>
                <w:rFonts w:hint="eastAsia" w:ascii="黑体" w:hAnsi="黑体" w:eastAsia="黑体" w:cs="黑体"/>
                <w:snapToGrid w:val="0"/>
                <w:spacing w:val="0"/>
                <w:kern w:val="0"/>
                <w:sz w:val="28"/>
                <w:szCs w:val="28"/>
                <w:lang w:val="en-US" w:eastAsia="en-US" w:bidi="ar-SA"/>
              </w:rPr>
              <w:t xml:space="preserve">  年  </w:t>
            </w:r>
            <w:r>
              <w:rPr>
                <w:rFonts w:hint="eastAsia" w:ascii="黑体" w:hAnsi="黑体" w:eastAsia="黑体" w:cs="黑体"/>
                <w:snapToGrid w:val="0"/>
                <w:spacing w:val="0"/>
                <w:kern w:val="0"/>
                <w:sz w:val="28"/>
                <w:szCs w:val="28"/>
                <w:lang w:val="en-US" w:eastAsia="zh-CN" w:bidi="ar-SA"/>
              </w:rPr>
              <w:t xml:space="preserve"> </w:t>
            </w:r>
            <w:r>
              <w:rPr>
                <w:rFonts w:hint="eastAsia" w:ascii="黑体" w:hAnsi="黑体" w:eastAsia="黑体" w:cs="黑体"/>
                <w:snapToGrid w:val="0"/>
                <w:spacing w:val="0"/>
                <w:kern w:val="0"/>
                <w:sz w:val="28"/>
                <w:szCs w:val="28"/>
                <w:lang w:val="en-US" w:eastAsia="en-US" w:bidi="ar-SA"/>
              </w:rPr>
              <w:t>月</w:t>
            </w:r>
            <w:r>
              <w:rPr>
                <w:rFonts w:hint="eastAsia" w:ascii="黑体" w:hAnsi="黑体" w:eastAsia="黑体" w:cs="黑体"/>
                <w:snapToGrid w:val="0"/>
                <w:spacing w:val="0"/>
                <w:kern w:val="0"/>
                <w:sz w:val="28"/>
                <w:szCs w:val="28"/>
                <w:lang w:val="en-US" w:eastAsia="zh-CN" w:bidi="ar-SA"/>
              </w:rPr>
              <w:t xml:space="preserve">   日  </w:t>
            </w:r>
            <w:r>
              <w:rPr>
                <w:rFonts w:hint="eastAsia" w:ascii="黑体" w:hAnsi="黑体" w:eastAsia="黑体" w:cs="黑体"/>
                <w:snapToGrid w:val="0"/>
                <w:spacing w:val="0"/>
                <w:kern w:val="0"/>
                <w:sz w:val="28"/>
                <w:szCs w:val="28"/>
                <w:lang w:val="en-US" w:eastAsia="en-US" w:bidi="ar-SA"/>
              </w:rPr>
              <w:t xml:space="preserve">  </w:t>
            </w:r>
            <w:r>
              <w:rPr>
                <w:rFonts w:hint="eastAsia" w:ascii="黑体" w:hAnsi="黑体" w:eastAsia="黑体" w:cs="黑体"/>
                <w:snapToGrid w:val="0"/>
                <w:spacing w:val="0"/>
                <w:kern w:val="0"/>
                <w:sz w:val="28"/>
                <w:szCs w:val="28"/>
                <w:lang w:val="en-US" w:eastAsia="zh-CN" w:bidi="ar-SA"/>
              </w:rPr>
              <w:t xml:space="preserve">    </w:t>
            </w:r>
          </w:p>
        </w:tc>
        <w:tc>
          <w:tcPr>
            <w:tcW w:w="4637" w:type="dxa"/>
            <w:gridSpan w:val="3"/>
            <w:tcBorders>
              <w:tl2br w:val="nil"/>
              <w:tr2bl w:val="nil"/>
            </w:tcBorders>
            <w:vAlign w:val="top"/>
          </w:tcPr>
          <w:p>
            <w:pPr>
              <w:keepNext w:val="0"/>
              <w:keepLines w:val="0"/>
              <w:pageBreakBefore w:val="0"/>
              <w:widowControl w:val="0"/>
              <w:kinsoku/>
              <w:wordWrap/>
              <w:overflowPunct w:val="0"/>
              <w:topLinePunct w:val="0"/>
              <w:autoSpaceDE/>
              <w:autoSpaceDN/>
              <w:bidi w:val="0"/>
              <w:adjustRightInd w:val="0"/>
              <w:snapToGrid w:val="0"/>
              <w:spacing w:before="163" w:beforeLines="50" w:line="240" w:lineRule="auto"/>
              <w:ind w:left="105" w:leftChars="50" w:right="0" w:rightChars="0" w:firstLine="0"/>
              <w:jc w:val="both"/>
              <w:textAlignment w:val="auto"/>
              <w:rPr>
                <w:rFonts w:hint="eastAsia" w:ascii="黑体" w:hAnsi="黑体" w:eastAsia="黑体" w:cs="黑体"/>
                <w:snapToGrid w:val="0"/>
                <w:spacing w:val="0"/>
                <w:kern w:val="0"/>
                <w:sz w:val="28"/>
                <w:szCs w:val="28"/>
                <w:lang w:val="en-US" w:eastAsia="en-US" w:bidi="ar-SA"/>
              </w:rPr>
            </w:pPr>
            <w:r>
              <w:rPr>
                <w:rFonts w:hint="eastAsia" w:ascii="黑体" w:hAnsi="黑体" w:eastAsia="黑体" w:cs="黑体"/>
                <w:snapToGrid w:val="0"/>
                <w:spacing w:val="0"/>
                <w:kern w:val="0"/>
                <w:sz w:val="28"/>
                <w:szCs w:val="28"/>
                <w:lang w:val="en-US" w:eastAsia="en-US" w:bidi="ar-SA"/>
              </w:rPr>
              <w:t>审核人员签名：</w:t>
            </w:r>
          </w:p>
          <w:p>
            <w:pPr>
              <w:pStyle w:val="2"/>
              <w:keepNext w:val="0"/>
              <w:keepLines w:val="0"/>
              <w:pageBreakBefore w:val="0"/>
              <w:widowControl w:val="0"/>
              <w:kinsoku/>
              <w:wordWrap/>
              <w:overflowPunct w:val="0"/>
              <w:topLinePunct w:val="0"/>
              <w:autoSpaceDE/>
              <w:autoSpaceDN/>
              <w:bidi w:val="0"/>
              <w:adjustRightInd w:val="0"/>
              <w:snapToGrid w:val="0"/>
              <w:spacing w:before="163" w:beforeLines="50" w:after="0" w:line="240" w:lineRule="auto"/>
              <w:ind w:left="0" w:leftChars="0" w:right="0" w:rightChars="0" w:firstLine="0"/>
              <w:textAlignment w:val="auto"/>
              <w:rPr>
                <w:rFonts w:hint="eastAsia" w:ascii="黑体" w:hAnsi="黑体" w:eastAsia="黑体" w:cs="黑体"/>
                <w:snapToGrid w:val="0"/>
                <w:spacing w:val="0"/>
                <w:kern w:val="0"/>
                <w:sz w:val="28"/>
                <w:szCs w:val="28"/>
              </w:rPr>
            </w:pPr>
          </w:p>
          <w:p>
            <w:pPr>
              <w:pStyle w:val="3"/>
              <w:keepNext w:val="0"/>
              <w:keepLines w:val="0"/>
              <w:pageBreakBefore w:val="0"/>
              <w:widowControl w:val="0"/>
              <w:kinsoku/>
              <w:wordWrap/>
              <w:overflowPunct w:val="0"/>
              <w:topLinePunct w:val="0"/>
              <w:autoSpaceDE/>
              <w:autoSpaceDN/>
              <w:bidi w:val="0"/>
              <w:adjustRightInd w:val="0"/>
              <w:snapToGrid w:val="0"/>
              <w:spacing w:before="163" w:beforeLines="50" w:after="0" w:line="240" w:lineRule="auto"/>
              <w:ind w:left="0" w:leftChars="0" w:right="0" w:rightChars="0" w:firstLine="0" w:firstLineChars="0"/>
              <w:textAlignment w:val="auto"/>
              <w:rPr>
                <w:rFonts w:hint="eastAsia" w:ascii="黑体" w:hAnsi="黑体" w:eastAsia="黑体" w:cs="黑体"/>
                <w:snapToGrid w:val="0"/>
                <w:spacing w:val="0"/>
                <w:kern w:val="0"/>
                <w:sz w:val="28"/>
                <w:szCs w:val="28"/>
              </w:rPr>
            </w:pPr>
          </w:p>
          <w:p>
            <w:pPr>
              <w:pStyle w:val="3"/>
              <w:keepNext w:val="0"/>
              <w:keepLines w:val="0"/>
              <w:pageBreakBefore w:val="0"/>
              <w:widowControl w:val="0"/>
              <w:kinsoku/>
              <w:wordWrap/>
              <w:overflowPunct w:val="0"/>
              <w:topLinePunct w:val="0"/>
              <w:autoSpaceDE/>
              <w:autoSpaceDN/>
              <w:bidi w:val="0"/>
              <w:adjustRightInd w:val="0"/>
              <w:snapToGrid w:val="0"/>
              <w:spacing w:before="163" w:beforeLines="50" w:after="0" w:line="240" w:lineRule="auto"/>
              <w:ind w:left="0" w:leftChars="0" w:right="0" w:rightChars="0" w:firstLine="0"/>
              <w:textAlignment w:val="auto"/>
              <w:rPr>
                <w:rFonts w:hint="eastAsia" w:ascii="黑体" w:hAnsi="黑体" w:eastAsia="黑体" w:cs="黑体"/>
                <w:snapToGrid w:val="0"/>
                <w:spacing w:val="0"/>
                <w:kern w:val="0"/>
                <w:sz w:val="28"/>
                <w:szCs w:val="28"/>
              </w:rPr>
            </w:pPr>
          </w:p>
          <w:p>
            <w:pPr>
              <w:keepNext w:val="0"/>
              <w:keepLines w:val="0"/>
              <w:pageBreakBefore w:val="0"/>
              <w:widowControl w:val="0"/>
              <w:kinsoku/>
              <w:wordWrap/>
              <w:overflowPunct w:val="0"/>
              <w:topLinePunct w:val="0"/>
              <w:autoSpaceDE/>
              <w:autoSpaceDN/>
              <w:bidi w:val="0"/>
              <w:adjustRightInd w:val="0"/>
              <w:snapToGrid w:val="0"/>
              <w:spacing w:before="163" w:beforeLines="50" w:line="240" w:lineRule="auto"/>
              <w:ind w:left="0" w:leftChars="0" w:right="0" w:rightChars="0" w:firstLine="0"/>
              <w:jc w:val="center"/>
              <w:textAlignment w:val="auto"/>
              <w:rPr>
                <w:rFonts w:hint="eastAsia" w:ascii="黑体" w:hAnsi="黑体" w:eastAsia="黑体" w:cs="黑体"/>
                <w:snapToGrid w:val="0"/>
                <w:spacing w:val="0"/>
                <w:kern w:val="0"/>
                <w:sz w:val="28"/>
                <w:szCs w:val="28"/>
                <w:lang w:val="en-US" w:eastAsia="en-US" w:bidi="ar-SA"/>
              </w:rPr>
            </w:pPr>
            <w:r>
              <w:rPr>
                <w:rFonts w:hint="eastAsia" w:ascii="黑体" w:hAnsi="黑体" w:eastAsia="黑体" w:cs="黑体"/>
                <w:snapToGrid w:val="0"/>
                <w:spacing w:val="0"/>
                <w:kern w:val="0"/>
                <w:sz w:val="28"/>
                <w:szCs w:val="28"/>
                <w:lang w:val="en-US" w:eastAsia="zh-CN" w:bidi="ar-SA"/>
              </w:rPr>
              <w:t xml:space="preserve">  </w:t>
            </w:r>
            <w:r>
              <w:rPr>
                <w:rFonts w:hint="eastAsia" w:ascii="黑体" w:hAnsi="黑体" w:eastAsia="黑体" w:cs="黑体"/>
                <w:snapToGrid w:val="0"/>
                <w:spacing w:val="0"/>
                <w:kern w:val="0"/>
                <w:sz w:val="28"/>
                <w:szCs w:val="28"/>
                <w:lang w:val="en-US" w:eastAsia="en-US" w:bidi="ar-SA"/>
              </w:rPr>
              <w:t xml:space="preserve">  年  </w:t>
            </w:r>
            <w:r>
              <w:rPr>
                <w:rFonts w:hint="eastAsia" w:ascii="黑体" w:hAnsi="黑体" w:eastAsia="黑体" w:cs="黑体"/>
                <w:snapToGrid w:val="0"/>
                <w:spacing w:val="0"/>
                <w:kern w:val="0"/>
                <w:sz w:val="28"/>
                <w:szCs w:val="28"/>
                <w:lang w:val="en-US" w:eastAsia="zh-CN" w:bidi="ar-SA"/>
              </w:rPr>
              <w:t xml:space="preserve"> </w:t>
            </w:r>
            <w:r>
              <w:rPr>
                <w:rFonts w:hint="eastAsia" w:ascii="黑体" w:hAnsi="黑体" w:eastAsia="黑体" w:cs="黑体"/>
                <w:snapToGrid w:val="0"/>
                <w:spacing w:val="0"/>
                <w:kern w:val="0"/>
                <w:sz w:val="28"/>
                <w:szCs w:val="28"/>
                <w:lang w:val="en-US" w:eastAsia="en-US" w:bidi="ar-SA"/>
              </w:rPr>
              <w:t>月</w:t>
            </w:r>
            <w:r>
              <w:rPr>
                <w:rFonts w:hint="eastAsia" w:ascii="黑体" w:hAnsi="黑体" w:eastAsia="黑体" w:cs="黑体"/>
                <w:snapToGrid w:val="0"/>
                <w:spacing w:val="0"/>
                <w:kern w:val="0"/>
                <w:sz w:val="28"/>
                <w:szCs w:val="28"/>
                <w:lang w:val="en-US" w:eastAsia="zh-CN" w:bidi="ar-SA"/>
              </w:rPr>
              <w:t xml:space="preserve">   日  </w:t>
            </w:r>
            <w:r>
              <w:rPr>
                <w:rFonts w:hint="eastAsia" w:ascii="黑体" w:hAnsi="黑体" w:eastAsia="黑体" w:cs="黑体"/>
                <w:snapToGrid w:val="0"/>
                <w:spacing w:val="0"/>
                <w:kern w:val="0"/>
                <w:sz w:val="28"/>
                <w:szCs w:val="28"/>
                <w:lang w:val="en-US" w:eastAsia="en-US" w:bidi="ar-SA"/>
              </w:rPr>
              <w:t xml:space="preserve">  </w:t>
            </w:r>
            <w:r>
              <w:rPr>
                <w:rFonts w:hint="eastAsia" w:ascii="黑体" w:hAnsi="黑体" w:eastAsia="黑体" w:cs="黑体"/>
                <w:snapToGrid w:val="0"/>
                <w:spacing w:val="0"/>
                <w:kern w:val="0"/>
                <w:sz w:val="28"/>
                <w:szCs w:val="28"/>
                <w:lang w:val="en-US" w:eastAsia="zh-CN" w:bidi="ar-SA"/>
              </w:rPr>
              <w:t xml:space="preserve">    </w:t>
            </w:r>
          </w:p>
        </w:tc>
      </w:tr>
    </w:tbl>
    <w:p>
      <w:pPr>
        <w:rPr>
          <w:rFonts w:hint="eastAsia" w:ascii="黑体" w:hAnsi="黑体" w:eastAsia="黑体" w:cs="黑体"/>
          <w:i w:val="0"/>
          <w:iCs w:val="0"/>
          <w:caps w:val="0"/>
          <w:color w:val="auto"/>
          <w:spacing w:val="0"/>
          <w:kern w:val="0"/>
          <w:sz w:val="32"/>
          <w:szCs w:val="32"/>
          <w:shd w:val="clear" w:color="auto" w:fill="FFFFFF"/>
          <w:lang w:val="en-US" w:eastAsia="zh-CN" w:bidi="ar"/>
        </w:rPr>
        <w:sectPr>
          <w:pgSz w:w="11906" w:h="16838"/>
          <w:pgMar w:top="2098" w:right="1474" w:bottom="1984" w:left="1587" w:header="851" w:footer="992" w:gutter="0"/>
          <w:pgBorders>
            <w:top w:val="none" w:sz="0" w:space="0"/>
            <w:left w:val="none" w:sz="0" w:space="0"/>
            <w:bottom w:val="none" w:sz="0" w:space="0"/>
            <w:right w:val="none" w:sz="0" w:space="0"/>
          </w:pgBorders>
          <w:pgNumType w:fmt="decimal"/>
          <w:cols w:space="0" w:num="1"/>
          <w:rtlGutter w:val="0"/>
          <w:docGrid w:type="lines" w:linePitch="323" w:charSpace="0"/>
        </w:sectPr>
      </w:pPr>
    </w:p>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rPr>
          <w:rFonts w:hint="eastAsia" w:ascii="黑体" w:hAnsi="黑体" w:eastAsia="黑体" w:cs="黑体"/>
          <w:i w:val="0"/>
          <w:iCs w:val="0"/>
          <w:caps w:val="0"/>
          <w:color w:val="auto"/>
          <w:spacing w:val="0"/>
          <w:kern w:val="0"/>
          <w:sz w:val="32"/>
          <w:szCs w:val="32"/>
          <w:shd w:val="clear" w:color="auto" w:fill="FFFFFF"/>
          <w:lang w:val="en-US" w:eastAsia="zh-CN" w:bidi="ar"/>
        </w:rPr>
      </w:pPr>
      <w:r>
        <w:rPr>
          <w:rFonts w:hint="eastAsia" w:ascii="黑体" w:hAnsi="黑体" w:eastAsia="黑体" w:cs="黑体"/>
          <w:i w:val="0"/>
          <w:iCs w:val="0"/>
          <w:caps w:val="0"/>
          <w:color w:val="auto"/>
          <w:spacing w:val="0"/>
          <w:kern w:val="0"/>
          <w:sz w:val="32"/>
          <w:szCs w:val="32"/>
          <w:shd w:val="clear" w:color="auto" w:fill="FFFFFF"/>
          <w:lang w:val="en-US" w:eastAsia="zh-CN" w:bidi="ar"/>
        </w:rPr>
        <w:t>附件2-1</w:t>
      </w:r>
    </w:p>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rPr>
          <w:rFonts w:hint="eastAsia" w:ascii="仿宋_GB2312" w:hAnsi="仿宋_GB2312" w:eastAsia="仿宋_GB2312" w:cs="仿宋_GB2312"/>
          <w:i w:val="0"/>
          <w:iCs w:val="0"/>
          <w:caps w:val="0"/>
          <w:color w:val="auto"/>
          <w:spacing w:val="0"/>
          <w:kern w:val="0"/>
          <w:sz w:val="28"/>
          <w:szCs w:val="28"/>
          <w:shd w:val="clear" w:color="auto" w:fill="FFFFFF"/>
          <w:lang w:val="en-US" w:eastAsia="zh-CN" w:bidi="ar"/>
        </w:rPr>
      </w:pPr>
    </w:p>
    <w:p>
      <w:pPr>
        <w:keepNext w:val="0"/>
        <w:keepLines w:val="0"/>
        <w:pageBreakBefore w:val="0"/>
        <w:widowControl w:val="0"/>
        <w:kinsoku/>
        <w:wordWrap/>
        <w:overflowPunct w:val="0"/>
        <w:topLinePunct w:val="0"/>
        <w:autoSpaceDE/>
        <w:autoSpaceDN/>
        <w:bidi w:val="0"/>
        <w:adjustRightInd w:val="0"/>
        <w:snapToGrid w:val="0"/>
        <w:spacing w:line="500" w:lineRule="exact"/>
        <w:jc w:val="center"/>
        <w:textAlignment w:val="auto"/>
        <w:rPr>
          <w:rFonts w:hint="eastAsia" w:ascii="方正小标宋简体" w:hAnsi="方正小标宋简体" w:eastAsia="方正小标宋简体" w:cs="方正小标宋简体"/>
          <w:i w:val="0"/>
          <w:iCs w:val="0"/>
          <w:caps w:val="0"/>
          <w:color w:val="auto"/>
          <w:spacing w:val="0"/>
          <w:kern w:val="0"/>
          <w:sz w:val="44"/>
          <w:szCs w:val="44"/>
          <w:shd w:val="clear" w:color="auto" w:fill="FFFFFF"/>
          <w:lang w:val="en-US" w:eastAsia="zh-CN" w:bidi="ar"/>
        </w:rPr>
      </w:pPr>
      <w:r>
        <w:rPr>
          <w:rFonts w:hint="eastAsia" w:ascii="方正小标宋简体" w:hAnsi="方正小标宋简体" w:eastAsia="方正小标宋简体" w:cs="方正小标宋简体"/>
          <w:i w:val="0"/>
          <w:iCs w:val="0"/>
          <w:caps w:val="0"/>
          <w:color w:val="auto"/>
          <w:spacing w:val="0"/>
          <w:kern w:val="0"/>
          <w:sz w:val="44"/>
          <w:szCs w:val="44"/>
          <w:shd w:val="clear" w:color="auto" w:fill="FFFFFF"/>
          <w:lang w:val="en-US" w:eastAsia="zh-CN" w:bidi="ar"/>
        </w:rPr>
        <w:t>食品生产企业静态风险因素量化分值表</w:t>
      </w:r>
    </w:p>
    <w:p>
      <w:pPr>
        <w:keepNext w:val="0"/>
        <w:keepLines w:val="0"/>
        <w:pageBreakBefore w:val="0"/>
        <w:widowControl w:val="0"/>
        <w:kinsoku/>
        <w:wordWrap/>
        <w:overflowPunct w:val="0"/>
        <w:topLinePunct w:val="0"/>
        <w:autoSpaceDE/>
        <w:autoSpaceDN/>
        <w:bidi w:val="0"/>
        <w:adjustRightInd w:val="0"/>
        <w:snapToGrid w:val="0"/>
        <w:spacing w:line="500" w:lineRule="exact"/>
        <w:jc w:val="center"/>
        <w:textAlignment w:val="auto"/>
        <w:rPr>
          <w:rFonts w:hint="eastAsia" w:ascii="方正小标宋简体" w:hAnsi="方正小标宋简体" w:eastAsia="方正小标宋简体" w:cs="方正小标宋简体"/>
          <w:i w:val="0"/>
          <w:iCs w:val="0"/>
          <w:caps w:val="0"/>
          <w:color w:val="auto"/>
          <w:spacing w:val="0"/>
          <w:kern w:val="0"/>
          <w:sz w:val="44"/>
          <w:szCs w:val="44"/>
          <w:shd w:val="clear" w:color="auto" w:fill="FFFFFF"/>
          <w:lang w:val="en-US" w:eastAsia="zh-CN" w:bidi="ar"/>
        </w:rPr>
      </w:pPr>
    </w:p>
    <w:tbl>
      <w:tblPr>
        <w:tblStyle w:val="9"/>
        <w:tblW w:w="1474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591"/>
        <w:gridCol w:w="1552"/>
        <w:gridCol w:w="727"/>
        <w:gridCol w:w="1670"/>
        <w:gridCol w:w="8474"/>
        <w:gridCol w:w="959"/>
        <w:gridCol w:w="7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685"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粮食加工品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小麦粉</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Style w:val="11"/>
                <w:rFonts w:hint="eastAsia" w:ascii="仿宋_GB2312" w:hAnsi="仿宋_GB2312" w:eastAsia="仿宋_GB2312" w:cs="仿宋_GB2312"/>
                <w:b w:val="0"/>
                <w:bCs w:val="0"/>
                <w:snapToGrid w:val="0"/>
                <w:kern w:val="0"/>
                <w:sz w:val="24"/>
                <w:szCs w:val="24"/>
                <w:lang w:val="en-US" w:eastAsia="zh-CN" w:bidi="ar"/>
              </w:rPr>
            </w:pPr>
            <w:r>
              <w:rPr>
                <w:rStyle w:val="11"/>
                <w:rFonts w:hint="eastAsia" w:ascii="仿宋_GB2312" w:hAnsi="仿宋_GB2312" w:eastAsia="仿宋_GB2312" w:cs="仿宋_GB2312"/>
                <w:b w:val="0"/>
                <w:bCs w:val="0"/>
                <w:snapToGrid w:val="0"/>
                <w:kern w:val="0"/>
                <w:sz w:val="24"/>
                <w:szCs w:val="24"/>
                <w:lang w:val="en-US" w:eastAsia="zh-CN" w:bidi="ar"/>
              </w:rPr>
              <w:t>1</w:t>
            </w:r>
            <w:r>
              <w:rPr>
                <w:rStyle w:val="12"/>
                <w:rFonts w:hint="eastAsia" w:ascii="仿宋_GB2312" w:hAnsi="仿宋_GB2312" w:eastAsia="仿宋_GB2312" w:cs="仿宋_GB2312"/>
                <w:b w:val="0"/>
                <w:bCs w:val="0"/>
                <w:snapToGrid w:val="0"/>
                <w:kern w:val="0"/>
                <w:sz w:val="24"/>
                <w:szCs w:val="24"/>
                <w:u w:val="none"/>
                <w:lang w:val="en-US" w:eastAsia="zh-CN" w:bidi="ar"/>
              </w:rPr>
              <w:t>.</w:t>
            </w:r>
            <w:r>
              <w:rPr>
                <w:rStyle w:val="11"/>
                <w:rFonts w:hint="eastAsia" w:ascii="仿宋_GB2312" w:hAnsi="仿宋_GB2312" w:eastAsia="仿宋_GB2312" w:cs="仿宋_GB2312"/>
                <w:b w:val="0"/>
                <w:bCs w:val="0"/>
                <w:snapToGrid w:val="0"/>
                <w:kern w:val="0"/>
                <w:sz w:val="24"/>
                <w:szCs w:val="24"/>
                <w:lang w:val="en-US" w:eastAsia="zh-CN" w:bidi="ar"/>
              </w:rPr>
              <w:t>通用：特制一等小麦粉、特制二等小麦粉、标准粉、普通粉、高筋小麦粉、低筋小麦粉、全麦粉、其他</w:t>
            </w:r>
          </w:p>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Style w:val="11"/>
                <w:rFonts w:hint="eastAsia" w:ascii="仿宋_GB2312" w:hAnsi="仿宋_GB2312" w:eastAsia="仿宋_GB2312" w:cs="仿宋_GB2312"/>
                <w:b w:val="0"/>
                <w:bCs w:val="0"/>
                <w:snapToGrid w:val="0"/>
                <w:kern w:val="0"/>
                <w:sz w:val="24"/>
                <w:szCs w:val="24"/>
                <w:lang w:val="en-US" w:eastAsia="zh-CN" w:bidi="ar"/>
              </w:rPr>
              <w:t>2.专用：营养强化小麦粉、面包用小麦粉、面条用小麦粉、饺子用小麦粉、馒头用小麦粉、发酵饼干用小麦粉、酥性饼干用小麦粉、蛋糕用小麦粉、糕点用小麦粉、自发小麦粉、专用全麦粉、小麦胚（胚片、胚粉）、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低（Ⅰ）</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13.5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粮食加工品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大米</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大米、糙米类产品（糙米、留胚米等）、特殊大米（免淘米、蒸谷米、发芽糙米等）、其他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粮食加工品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挂面</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1.普通挂面；2.花色挂面；3.手工面</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低（Ⅰ）</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13.5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0"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粮食加工品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其他粮食</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加工品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1.谷物加工品：高粱米、黍米、稷米、小米、黑米、紫米、红线米、小麦米、大麦米、裸大麦米、莜麦米（燕麦米）、荞麦米、薏仁米、八宝米类、混合杂粮类、其他</w:t>
            </w:r>
          </w:p>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谷物碾磨加工品：玉米碜、玉米粉、燕麦片、汤圆粉（糯米粉）、莜麦粉、玉米自发粉、小米粉、高粱粉、荞麦粉、大麦粉、青稞粉、杂面粉、大米粉、绿豆粉、黄豆粉、红豆粉、黑豆粉、豌豆粉、芸豆粉、蚕豆粉、黍米粉（大黄米粉）、稷米粉（糜子面）、混合杂粮粉、其他3.谷物粉类制成品：生湿面制品、生干面制品、米粉制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低（Ⅰ）</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14.0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51"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食用油、油脂及其制品</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201</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食用植物油</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菜籽油、大豆油、花生油、葵花籽油、棉籽油、亚麻籽油、油茶籽油、玉米油、米糠油、芝麻油、棕榈油、橄榄油、其他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中等（III）</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食用植物调和油</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食用油、油脂及其制品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食用油脂制品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食用氢化油、人造奶油（人造黄油）、起酥油、代可可脂、植脂奶油、粉末油脂、植脂末、其他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中等（III）</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21.0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食用油、油脂及其制品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食用动物油脂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猪油、牛油、羊油、鸡油、鸭油、鹅油、骨髓油、水生动物油脂、其他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中等（III）</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酱油</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酱油</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调味品</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302</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食醋</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1.食醋</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2.甜醋</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味精</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1.谷氨酸钠（99%味精）；2.加盐味精；3.增鲜味精</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低（Ⅰ）</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14.0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酱类</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稀甜面酱、甜面酱、大豆酱（黄酱）、蚕豆酱、豆瓣酱、大酱、其他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97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305</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调味料</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1.液体调味料：鸡汁调味料、牛肉汁调味料、烧烤汁、鲍鱼汁、香辛料调味汁、糟卤、调味料酒、液态复合调味料、其他</w:t>
            </w:r>
          </w:p>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2.半固体（酱）调味料：花生酱、芝麻酱、辣椒酱、番茄酱、风味酱、芥末酱、咖喱卤、油辣椒、火锅蘸料、火锅底料、排骨酱、叉烧酱、香辛料酱（泥）、复合调味酱、其他</w:t>
            </w:r>
          </w:p>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固体调味料：鸡精调味料、鸡粉调味料、畜（禽）粉调味料、风味汤料、酱油粉、食醋粉、酱粉、咖喱粉、香辛料粉、复合调味粉、其他4.食用调味油：香辛料调味油、复合调味油、其他5.水产调味品：蚝油、鱼露、虾酱、鱼子酱、虾油、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482"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306</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食盐</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1.食用盐：普通食用盐（加碘）、普通食用盐（未加碘）、低钠食用盐（加碘）、低钠食用盐（未加碘）、风味食用盐（加碘）、风味食用盐（未加碘）、特殊工艺食用盐（加碘）、特殊工艺食用盐（未加碘）</w:t>
            </w:r>
          </w:p>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2.食品生产加工用盐</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17.0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14</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肉制品</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401</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热加工熟肉制品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1.酱卤肉制品：酱卤肉类、糟肉类、白煮类、其他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26.0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2.熏烧烤肉制品；3.肉灌制品：灌肠类、西式火腿、其他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4.油炸肉制品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5.熟肉干制品：肉松类、肉干类、肉脯、其他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6.其他熟肉制品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26.5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15</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肉制品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发酵肉制品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1.发酵灌制品；2.发酵火腿制品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16</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肉制品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预制调理肉制品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1.冷藏预制调理肉类；2.冷冻预制调理肉类</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26.5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肉制品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腌腊肉制品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1.肉灌制品；2.腊肉制品；3.火腿制品4.其他肉制品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23.0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18</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乳制品</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501</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液体乳</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1.巴氏杀菌乳；2.高温杀菌乳；3.调制乳</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27.0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4.灭菌乳</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26.0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5.发酵乳</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28.0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19</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乳制品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乳粉</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1.全脂乳粉；2.脱脂乳粉；3.部分脱脂乳粉；4.调制乳粉；5.乳清粉</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28.0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20</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乳制品</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503</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其他乳制品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1.炼乳；2.奶油；3.稀奶油；4.无水奶油；5.干酪；6.再制干酪</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26.5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7.特色乳制品；8.浓缩乳</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26.5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饮料</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包装饮用水</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1.饮用天然矿泉水；2.饮用纯净水；3.饮用天然泉水；4.饮用天然水；5.其他饮用水</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饮料</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碳酸饮料</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(汽水)</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果汁型碳酸饮料、果味型碳酸饮料、可乐型碳酸饮料、其他型碳酸饮料</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19.5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89"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饮料</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茶类饮料</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1.原茶汁：茶汤/纯茶饮料；2.茶浓缩液；3.茶饮料；4.果汁茶饮料；5.奶茶饮料；6.复合茶饮料；7.混合茶饮料；8.其他茶（类）饮料</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701"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饮料</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果蔬汁类及其饮料</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1.果蔬汁（浆）：果汁、蔬菜汁、果浆、蔬菜浆、复合果蔬汁、复合果蔬浆、其他</w:t>
            </w:r>
          </w:p>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2.浓缩果蔬汁（浆）</w:t>
            </w:r>
          </w:p>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3.果蔬汁（浆）类饮料：果蔬汁饮料、果肉饮料、果浆饮料、复合果蔬汁饮料、果蔬汁饮料浓浆、发酵果蔬汁饮料、水果饮料、其他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25</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饮料</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605</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蛋白饮料</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1.含乳饮料；2.植物蛋白饮料；3.复合蛋白饮料</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4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26</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饮料</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606</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固体饮料</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1.风味固体饮料；2.蛋白固体饮料；3.果蔬固体饮料；4.茶固体饮料；5.咖啡固体饮料；6.可可粉固体饮料；7.其他固体饮料：植物固体饮料、谷物固体饮料、食用菌固体饮料、其他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饮料</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607</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其他饮料</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1.咖啡（类）饮料；2.植物饮料；3.风味饮料；4.运动饮料；5.营养素饮料；6.能量饮料；7.电解质饮料；8.饮料浓浆；9.其他类饮料</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28</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方便食品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方便面</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1.油炸方便面；2.热风干燥方便面；3.其他方便面</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19.5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29</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方便食品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其他方便食品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1.主食类：方便米饭、方便粥、方便米粉、方便米线、方便粉丝、方便湿米粉、方便豆花、方便湿面、凉粉、其他；2.冲调类：麦片、黑芝麻糊、红枣羹、油茶、即食谷物粉、其他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方便食品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调味面制品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调味面制品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19.5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89"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饼干</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饼干</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酥性饼干、韧性饼干、发酵饼干、压缩饼干、曲奇饼干、夹心（注心）饼干、威化饼干、蛋圆饼干、蛋卷、煎饼、装饰饼干、水泡饼干、其他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17.5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罐头</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畜禽水产罐头</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火腿类罐头、肉类罐头、牛肉罐头、羊肉罐头、鱼类罐头、禽类罐头、肉酱类罐头、其他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21.0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罐头</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果蔬罐头</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1.水果罐头：桃罐头、橘子罐头、菠萝罐头、荔枝罐头、梨罐头、其他；2.蔬菜罐头：食用菌罐头、竹笋罐头、莲藕罐头、番茄罐头、豆类罐头、其他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17.0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罐头</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其他罐头</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其他罐头：果仁类罐头、八宝粥罐头、其他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17.0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35</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冷冻饮品</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1001</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冷冻饮品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1.冰淇淋；2.雪糕；3.雪泥；4.冰棍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5.食用冰；6.甜味冰；7.其他冷冻饮品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36</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速冻食品</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1101</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速冻面米食品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1.生制品：速冻饺子、速冻包子、速冻汤圆、速冻粽子、速冻面点、速冻其他面米制品、其他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19.5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2.熟制品：速冻饺子、速冻包子、速冻粽子、速冻其他面米制品、其他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速冻食品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1102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速冻调制食品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1.生制品(具体品种明细)；2.熟制品(具体品种明细)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24.0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38</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速冻食品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1103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速冻其他食品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速冻其他食品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24.0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39</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薯类和膨化食品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1201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膨化食品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1.焙烤型；2.油炸型；3.直接挤压型；4.花色型</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19.0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薯类和膨化食品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1202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薯类食品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1.干制薯类；2.冷冻薯类；3.薯泥（酱）类；4.薯粉类；5.其他薯类</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18.0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糖果制品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1301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糖果</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1.硬质糖果；2.奶糖糖果；3.夹心糖果；4.酥质糖果；5.焦香糖果(太妃糖果)；6.充气糖果；7.凝胶糖果；8.胶基糖果；9.压片糖果；10.流质糖果；11.膜片糖果；12.花式糖果；13.其他糖果</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糖果制品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1302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巧克力及巧克力制品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1.巧克力；2.巧克力制品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18.0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糖果制品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1303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代可可脂巧克力及代可可脂巧克力制品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1.代可可脂巧克力；2.代可可脂巧克力制品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18.0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糖果制品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1304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果冻</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果汁型果冻、果肉型果冻、果味型果冻、含乳型果冻、其他型果冻</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650"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45</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茶叶及相关制品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1401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茶叶</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绿茶：龙井茶、珠茶、黄山毛峰、都匀毛尖、其他；2.红茶：祁门工夫红茶、小种红茶、红碎茶、其他；3.乌龙茶：铁观音茶、武夷岩茶、凤凰单枞茶、其他；4.白茶：白毫银针茶、白牡丹茶、贡眉茶、其他；5.黄茶：蒙顶黄芽茶、霍山黄芽茶、君山银针茶、其他；6.黑茶：普洱茶（熟茶）散茶、六堡茶散茶、其他；7.花茶：茉莉花茶、珠兰花茶、桂花茶、其他；8.袋泡茶：绿茶袋泡茶、红茶袋泡茶、花茶袋泡茶、其他；9.紧压茶：普洱茶（生茶）紧压茶、普洱茶（熟茶）紧压茶、六堡茶紧压茶、白茶紧压茶、花砖茶、黑砖茶、茯砖茶、康砖茶、沱茶、紧茶、金尖茶、米砖茶、青砖茶、其他紧压茶</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405"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46</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茶叶及相关制品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1402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茶制品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茶粉：绿茶粉、红茶粉、其他；2.固态速溶茶：速溶红茶、速溶绿茶、其他；3.茶浓缩液：红茶浓缩液、绿茶浓缩液、其他；4.茶膏：普洱茶膏、黑茶膏、其他；5.调味茶制品：调味茶粉、调味速溶茶、调味茶浓缩液、调味茶膏、其他；6.其他茶制品：表没食子儿茶素没食子酸酯、绿茶茶氨酸、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16.0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39"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茶叶及相关制品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1403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调味茶</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加料调味茶：八宝茶、三泡台、枸杞绿茶、玄米绿茶、其他；2.加香调味茶：柠檬红茶、草莓绿茶、其他；3.混合调味茶：柠檬枸杞茶、其他；4.袋泡调味茶：玫瑰袋泡红茶、其他；5.紧压调味茶：荷叶茯砖茶、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16.0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778"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48</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茶叶及相关制品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1404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代用茶</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叶类代用茶：荷叶、桑叶、薄荷叶、苦丁茶、其他；2.花类代用茶：杭白菊、金银花、重瓣红玫瑰、其他；3.果实类代用茶：大麦茶、枸杞子、决明子、苦瓜片、罗汉果、柠檬片、其他；4.根茎类代用茶：甘草、牛蒡根、人参（人工种植）、其他；5.混合类代用茶：荷叶玫瑰茶、枸杞菊花茶、其他；6.袋泡代用茶：荷叶袋泡茶、桑叶袋泡茶、其他7.紧压代用茶：紧压菊花、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16.0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49</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酒类</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1501</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白酒</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1、白酒</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2、白酒(液态)；3、白酒(原酒)</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酒类</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1502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葡萄酒及果酒</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1.葡萄酒：原酒、加工灌装；2.冰葡萄酒：原酒、加工灌装；3.其他特种葡萄酒：原酒、加工灌装；4.发酵型果酒：原酒、加工灌装</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酒类</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1503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啤酒</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1.熟啤酒；2.生啤酒；3.鲜啤酒；4.特种啤酒</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19.5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酒类</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1504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黄酒</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黄酒：原酒、加工灌装</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19.5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53</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酒类</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1505</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其他酒</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1.配制酒：露酒、枸杞酒、枇杷酒、其他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89"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2.其他蒸馏酒：白兰地、威士忌、俄得克、朗姆酒、水果白兰地、水果蒸馏酒、其他；3.其他发酵酒：清酒、米酒（醪糟）、奶酒、其他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19.5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酒类</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1506</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食用酒精</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食用酒精</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16.0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55</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蔬菜制品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1601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酱腌菜</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调味榨菜、腌萝卜、腌豇豆、酱渍菜、虾油渍菜、盐水渍菜、其他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56</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蔬菜制品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1602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蔬菜干制品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1.自然干制蔬菜；2.热风干燥蔬菜；3.冷冻干燥蔬菜；4.蔬菜脆片；5.蔬菜粉及制品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16.0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蔬菜制品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1603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食用菌制品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1.干制食用菌；2.腌渍食用菌</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16.0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58</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蔬菜制品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1604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其他蔬菜制品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其他蔬菜制品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16.0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59</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1701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蜜饯</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1.蜜饯类；2.凉果类；3.果脯类；4.话化类；5.果丹(饼)类；6.果糕类</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82"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1702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水果制品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1.水果干制品：葡萄干、水果脆片、荔枝干、桂圆、椰干、大枣干制品、其他；2.果酱：苹果酱、草莓酱、蓝莓酱、其他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93"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炒货食品及坚果制品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1801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炒货食品及坚果制品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1.烘炒类：炒瓜子、炒花生、炒豌豆、其他；2.油炸类：油炸青豆、油炸琥珀桃仁、其他；3.其他类：水煮花生、糖炒花生、糖炒瓜子仁、裹衣花生、咸干花生、其他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40"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蛋制品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1901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蛋制品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1.再制蛋类：皮蛋、咸蛋、糟蛋、卤蛋、咸蛋黄、其他；2.干蛋类：巴氏杀菌鸡全蛋粉、鸡蛋黄粉、鸡蛋白片、其他；3.冰蛋类：巴氏杀菌冻鸡全蛋、冻鸡蛋黄、冰鸡蛋白、其他；4.其他类：热凝固蛋制品、其他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17.5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可可及焙烤咖啡产品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2001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可可制品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可可粉、可可脂、可可液块、可可饼块、其他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低（Ⅰ）</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14.5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可可及焙烤咖啡产品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2002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焙炒咖啡</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焙炒咖啡豆、咖啡粉、其他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低（Ⅰ）</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14.0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9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65</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食糖</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2101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糖</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1.白砂糖；2.绵白糖；3.赤砂糖；4.冰糖：单晶体冰糖、多晶体冰糖；5.方糖；6.冰片糖；7.红糖；8.其他糖：具体品种明细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低（Ⅰ）</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14.0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66</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水产制品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2201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干制水产品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虾米、虾皮、干贝、鱼干、干燥裙带菜、干海带、干紫菜、干海参、其他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水产制品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2202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盐渍水产品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盐渍藻类、盐渍海蜇、盐渍鱼、盐渍海参、其他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68</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水产制品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2203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鱼糜及鱼糜制品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冷冻鱼糜、冷冻鱼糜制品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69</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水产制品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2204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冷冻水产制品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冷冻调理制品、冷冻挂浆制品、冻煮制品、冻油炸制品、冻烧烤制品、其他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水产制品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2205</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熟制水产品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烤鱼片、鱿鱼丝、烤虾、海苔、鱼松、鱼肠、鱼饼、调味鱼（鱿鱼）、即食海参（鲍鱼）、调味海带（裙带菜）、其他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22.0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水产制品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2206</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生食水产品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腌制生食水产品、非腌制生食水产品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水产制品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2207</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其他水产品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其他水产品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328"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淀粉及淀粉制品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2301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淀粉及淀粉制品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淀粉：谷类淀粉（大米、玉米、高粱、麦、其他）、薯类淀粉（木薯、马铃薯、甘薯、芋头、其他）、豆类淀粉（绿豆、蚕豆、豇豆、豌豆、其他）、其他淀粉（藕、荸荠、百合、蕨根、其他）；2.淀粉制品：粉丝、粉条、粉皮、虾味片、凉粉、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淀粉及淀粉制品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2302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淀粉糖</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葡萄糖、饴糖、麦芽糖、异构化糖、低聚异麦芽糖、果葡糖浆、麦芽糊精、葡萄糖浆、其他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低（Ⅰ）</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14.5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322"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75</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糕点</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2401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热加工糕点</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烘烤类糕点：酥类、松酥类、松脆类、酥层类、酥皮类、松酥皮类、糖浆皮类、硬皮类、水油皮类、发酵类、烤蛋糕类、烘糕类、烫面类、其他类；2.油炸类糕点：酥皮类、水油皮类、松酥类、酥层类、水调类、发酵类、其他类；3.蒸煮类糕点：蒸蛋糕类、印模糕类、韧糕类、发糕类、松糕类、粽子类、水油皮类、片糕类、其他类；4.炒制类糕点；5.其他类：发酵面制品（馒头、花卷、包子、豆包、饺子、发糕、馅饼、其他）、油炸面制品（油条、油饼、炸糕、其他）、非发酵面米制品（窝头、烙饼、其他）、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23.5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50"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76</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糕点</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2402</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冷加工糕点</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1.熟粉糕点：热调软糕类、冷调韧糕类、冷调松糕类、印模糕类、其他类；3.上糖浆类；5.糕团类；6.其他类</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24.5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2.西式装饰蛋糕类；4.夹心（注心）类；</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糕点</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2403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食品馅料</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月饼馅料、其他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24.5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81"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78</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豆制品</w:t>
            </w:r>
          </w:p>
        </w:tc>
        <w:tc>
          <w:tcPr>
            <w:tcW w:w="727" w:type="dxa"/>
            <w:vMerge w:val="restart"/>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restart"/>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1.发酵豆制品：腐乳（红腐乳、酱腐乳、白腐乳、青腐乳）、豆豉、纳豆、豆汁、其他；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13"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2.非发酵豆制品：豆浆、豆腐、豆腐泡、熏干、豆腐脑、豆腐干、腐竹、豆腐皮、其他；3.其他豆制品：素肉、大豆组织蛋白、膨化豆制品、其他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21.0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79</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蜂产品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2601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蜂蜜</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蜂蜜</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蜂产品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2602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蜂王浆(含蜂王浆冻干品)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蜂王浆、蜂王浆冻干品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蜂产品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2603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蜂花粉</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蜂花粉</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蜂产品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2604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蜂产品制品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蜂产品制品</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片剂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粉剂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85</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颗粒剂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86</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2704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茶剂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2705</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硬胶囊剂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88</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2706</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软胶囊剂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89</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2707</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口服液</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2708</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丸剂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2709</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膏剂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2710</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饮料</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2711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酒剂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2712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饼干类</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95</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2713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糖果类</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96</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2714</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糕点类</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97</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2715</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液体乳类</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98</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2716</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原料提取物</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99</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2717</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复配营养素</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保健食品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2718</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其他类别</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具体品种</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836"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101</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特殊医学用途配方食品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2801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特殊医学用途配方食品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全营养配方食品；2.特定全营养配方食品：糖尿病全营养配方食品，呼吸系统病全营养配方食品，肾病全营养配方食品，肿瘤全营养配方食品，肝病全营养配方食品，肌肉衰减综合征全营养配方食品，创伤、感染、手术及其他应激状态全营养配方食品，炎性肠病全营养配方食品，食物蛋白过敏全营养配方食品，难治性癫痫全营养配方食品，胃肠道吸收障碍、胰腺炎全营养配方食品，脂肪酸代谢异常全营养配方食品，肥胖、减脂手术全营养配方食品，其他；3.非全营养配方食品：营养素组件配方食品，电解质配方食品，增稠组件配方食品，流质配方食品，氨基酸代谢障碍配方食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31.5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32"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102</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特殊医学用途配方食品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2802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特殊医学用途婴儿配方食品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特殊医学用途婴儿配方食品：无乳糖配方或低乳糖配方食品、乳蛋白部分水解配方食品、乳蛋白深度水解配方或氨基酸配方食品、早产/低出生体重婴儿配方食品、氨基酸代谢障碍配方食品、婴儿营养补充剂、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31.5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103</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婴幼儿配方食品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2901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婴幼儿配方乳粉</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1.婴儿配方乳粉：湿法工艺、干法工艺、干湿法复合工艺；2.较大婴儿配方乳粉：湿法工艺、干法工艺、干湿法复合工艺；3.幼儿配方乳粉：湿法工艺、干法工艺、干湿法复合工艺</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31.5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389"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104</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特殊膳食食品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婴幼儿谷类辅助食品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婴幼儿谷物辅助食品：婴幼儿米粉、婴幼儿小米米粉、其他；2.婴幼儿高蛋白谷物辅助食品：高蛋白婴幼儿米粉、高蛋白婴幼儿小米米粉、其他；3.婴幼儿生制类谷物辅助食品：婴幼儿面条、婴幼儿颗粒面、其他；4.婴幼儿饼干或其他婴幼儿谷物辅助食品：婴幼儿饼干、婴幼儿米饼、婴幼儿磨牙棒、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序号</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食品、食品</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添加剂类别</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类别编号</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类别名称</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黑体" w:hAnsi="黑体" w:eastAsia="黑体" w:cs="黑体"/>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风险</w:t>
            </w:r>
          </w:p>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等级</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lang w:val="en-US" w:eastAsia="zh-CN" w:bidi="ar"/>
              </w:rPr>
            </w:pPr>
            <w:r>
              <w:rPr>
                <w:rFonts w:hint="eastAsia" w:ascii="黑体" w:hAnsi="黑体" w:eastAsia="黑体" w:cs="黑体"/>
                <w:b w:val="0"/>
                <w:bCs w:val="0"/>
                <w:i w:val="0"/>
                <w:iCs w:val="0"/>
                <w:snapToGrid w:val="0"/>
                <w:color w:val="000000"/>
                <w:kern w:val="0"/>
                <w:sz w:val="24"/>
                <w:szCs w:val="24"/>
                <w:u w:val="none"/>
                <w:lang w:val="en-US" w:eastAsia="zh-CN" w:bidi="ar"/>
              </w:rPr>
              <w:t>分值(S)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1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105</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特殊膳食食品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婴幼儿罐装辅助食品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1.泥（糊）状罐装食品：婴幼儿果蔬泥、婴幼儿肉泥、婴幼儿鱼泥、其他；2.颗粒状罐装食品：婴幼儿颗粒果蔬泥、婴幼儿颗粒肉泥、婴幼儿颗粒鱼泥、其他；3.汁类罐装食品：婴幼儿水果汁、婴幼儿蔬菜汁、其他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66"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106</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特殊膳食食品</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3003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其他特殊膳食食品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其他特殊膳食食品：辅助营养补充品、运动营养补充品、孕妇及乳母营养补充食品、其他</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30.0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107</w:t>
            </w:r>
          </w:p>
        </w:tc>
        <w:tc>
          <w:tcPr>
            <w:tcW w:w="1552"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其他食品</w:t>
            </w:r>
          </w:p>
        </w:tc>
        <w:tc>
          <w:tcPr>
            <w:tcW w:w="727"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3101</w:t>
            </w:r>
          </w:p>
        </w:tc>
        <w:tc>
          <w:tcPr>
            <w:tcW w:w="1670" w:type="dxa"/>
            <w:vMerge w:val="restart"/>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其他食品</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其他食品：具体品种明细</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25.5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552"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727"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167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jc w:val="center"/>
              <w:rPr>
                <w:rFonts w:hint="eastAsia" w:ascii="仿宋_GB2312" w:hAnsi="仿宋_GB2312" w:eastAsia="仿宋_GB2312" w:cs="仿宋_GB2312"/>
                <w:b w:val="0"/>
                <w:bCs w:val="0"/>
                <w:i w:val="0"/>
                <w:iCs w:val="0"/>
                <w:snapToGrid w:val="0"/>
                <w:color w:val="000000"/>
                <w:kern w:val="0"/>
                <w:sz w:val="24"/>
                <w:szCs w:val="24"/>
                <w:u w:val="none"/>
              </w:rPr>
            </w:pP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left"/>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其他食品：即食鲜切果蔬</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高（Ⅳ）</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27.5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70"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108</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食品添加剂</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3201</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食品添加剂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食品添加剂产品名称：使用GB 2760、GB 14880或卫生健康委（原卫生计生委）公告规定的食品添加剂名称；标准中对不同工艺有明确规定的应当在括号中标明；不包括食品用香精和复配食品添加剂</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17.5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109</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食品用香精</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3202</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食品用香精</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食品用香精：液体、乳化、浆（膏）状、粉末（拌和、胶囊）</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较低（Ⅱ）</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17.5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54" w:hRule="atLeast"/>
          <w:jc w:val="center"/>
        </w:trPr>
        <w:tc>
          <w:tcPr>
            <w:tcW w:w="591"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110</w:t>
            </w:r>
          </w:p>
        </w:tc>
        <w:tc>
          <w:tcPr>
            <w:tcW w:w="1552"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复配食品添加剂</w:t>
            </w:r>
          </w:p>
        </w:tc>
        <w:tc>
          <w:tcPr>
            <w:tcW w:w="72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3203</w:t>
            </w:r>
          </w:p>
        </w:tc>
        <w:tc>
          <w:tcPr>
            <w:tcW w:w="1670"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复配食品添加剂</w:t>
            </w:r>
          </w:p>
        </w:tc>
        <w:tc>
          <w:tcPr>
            <w:tcW w:w="8474"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both"/>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复配食品添加剂明细（使用GB 26687规定的名称）</w:t>
            </w:r>
          </w:p>
        </w:tc>
        <w:tc>
          <w:tcPr>
            <w:tcW w:w="959"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中等（Ⅲ）</w:t>
            </w:r>
          </w:p>
        </w:tc>
        <w:tc>
          <w:tcPr>
            <w:tcW w:w="767" w:type="dxa"/>
            <w:tcBorders>
              <w:tl2br w:val="nil"/>
              <w:tr2bl w:val="nil"/>
            </w:tcBorders>
            <w:shd w:val="clear" w:color="auto" w:fill="auto"/>
            <w:vAlign w:val="center"/>
          </w:tcPr>
          <w:p>
            <w:pPr>
              <w:keepNext w:val="0"/>
              <w:keepLines w:val="0"/>
              <w:pageBreakBefore w:val="0"/>
              <w:widowControl w:val="0"/>
              <w:suppressLineNumbers w:val="0"/>
              <w:kinsoku/>
              <w:wordWrap/>
              <w:overflowPunct w:val="0"/>
              <w:topLinePunct w:val="0"/>
              <w:autoSpaceDE/>
              <w:autoSpaceDN/>
              <w:bidi w:val="0"/>
              <w:adjustRightInd w:val="0"/>
              <w:snapToGrid w:val="0"/>
              <w:jc w:val="center"/>
              <w:textAlignment w:val="center"/>
              <w:rPr>
                <w:rFonts w:hint="eastAsia" w:ascii="仿宋_GB2312" w:hAnsi="仿宋_GB2312" w:eastAsia="仿宋_GB2312" w:cs="仿宋_GB2312"/>
                <w:b w:val="0"/>
                <w:bCs w:val="0"/>
                <w:i w:val="0"/>
                <w:iCs w:val="0"/>
                <w:snapToGrid w:val="0"/>
                <w:color w:val="000000"/>
                <w:kern w:val="0"/>
                <w:sz w:val="24"/>
                <w:szCs w:val="24"/>
                <w:u w:val="none"/>
              </w:rPr>
            </w:pPr>
            <w:r>
              <w:rPr>
                <w:rFonts w:hint="eastAsia" w:ascii="仿宋_GB2312" w:hAnsi="仿宋_GB2312" w:eastAsia="仿宋_GB2312" w:cs="仿宋_GB2312"/>
                <w:b w:val="0"/>
                <w:bCs w:val="0"/>
                <w:i w:val="0"/>
                <w:iCs w:val="0"/>
                <w:snapToGrid w:val="0"/>
                <w:color w:val="000000"/>
                <w:kern w:val="0"/>
                <w:sz w:val="24"/>
                <w:szCs w:val="24"/>
                <w:u w:val="none"/>
                <w:lang w:val="en-US" w:eastAsia="zh-CN" w:bidi="ar"/>
              </w:rPr>
              <w:t xml:space="preserve">20.5 </w:t>
            </w:r>
          </w:p>
        </w:tc>
      </w:tr>
    </w:tbl>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rPr>
          <w:rFonts w:hint="eastAsia" w:ascii="楷体_GB2312" w:hAnsi="楷体_GB2312" w:eastAsia="楷体_GB2312" w:cs="楷体_GB2312"/>
          <w:i w:val="0"/>
          <w:iCs w:val="0"/>
          <w:color w:val="000000"/>
          <w:kern w:val="0"/>
          <w:sz w:val="28"/>
          <w:szCs w:val="28"/>
          <w:u w:val="none"/>
          <w:lang w:val="en-US" w:eastAsia="zh-CN" w:bidi="ar"/>
        </w:rPr>
      </w:pPr>
      <w:r>
        <w:rPr>
          <w:rFonts w:hint="eastAsia" w:ascii="楷体_GB2312" w:hAnsi="楷体_GB2312" w:eastAsia="楷体_GB2312" w:cs="楷体_GB2312"/>
          <w:i w:val="0"/>
          <w:iCs w:val="0"/>
          <w:color w:val="000000"/>
          <w:kern w:val="0"/>
          <w:sz w:val="28"/>
          <w:szCs w:val="28"/>
          <w:u w:val="none"/>
          <w:lang w:val="en-US" w:eastAsia="zh-CN" w:bidi="ar"/>
        </w:rPr>
        <w:t>备注：规模以上食品生产企业静态分值增加3分（新开办的食品生产企业，首年不统计该分值），例如：一般大米生产企业静态分值为13.5分，而规模以上大米生产企业静态分值为16.5分。</w:t>
      </w:r>
    </w:p>
    <w:p>
      <w:pPr>
        <w:rPr>
          <w:rFonts w:hint="eastAsia" w:ascii="楷体_GB2312" w:hAnsi="楷体_GB2312" w:eastAsia="楷体_GB2312" w:cs="楷体_GB2312"/>
          <w:i w:val="0"/>
          <w:iCs w:val="0"/>
          <w:color w:val="000000"/>
          <w:kern w:val="0"/>
          <w:sz w:val="28"/>
          <w:szCs w:val="28"/>
          <w:u w:val="none"/>
          <w:lang w:val="en-US" w:eastAsia="zh-CN" w:bidi="ar"/>
        </w:rPr>
      </w:pPr>
      <w:r>
        <w:rPr>
          <w:rFonts w:hint="eastAsia" w:ascii="楷体_GB2312" w:hAnsi="楷体_GB2312" w:eastAsia="楷体_GB2312" w:cs="楷体_GB2312"/>
          <w:i w:val="0"/>
          <w:iCs w:val="0"/>
          <w:color w:val="000000"/>
          <w:kern w:val="0"/>
          <w:sz w:val="28"/>
          <w:szCs w:val="28"/>
          <w:u w:val="none"/>
          <w:lang w:val="en-US" w:eastAsia="zh-CN" w:bidi="ar"/>
        </w:rPr>
        <w:br w:type="page"/>
      </w:r>
    </w:p>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rPr>
          <w:rFonts w:hint="eastAsia" w:ascii="黑体" w:hAnsi="黑体" w:eastAsia="黑体" w:cs="黑体"/>
          <w:i w:val="0"/>
          <w:iCs w:val="0"/>
          <w:caps w:val="0"/>
          <w:color w:val="auto"/>
          <w:spacing w:val="0"/>
          <w:kern w:val="0"/>
          <w:sz w:val="32"/>
          <w:szCs w:val="32"/>
          <w:shd w:val="clear" w:color="auto" w:fill="FFFFFF"/>
          <w:lang w:val="en-US" w:eastAsia="zh-CN" w:bidi="ar"/>
        </w:rPr>
      </w:pPr>
      <w:r>
        <w:rPr>
          <w:rFonts w:hint="eastAsia" w:ascii="黑体" w:hAnsi="黑体" w:eastAsia="黑体" w:cs="黑体"/>
          <w:i w:val="0"/>
          <w:iCs w:val="0"/>
          <w:caps w:val="0"/>
          <w:color w:val="auto"/>
          <w:spacing w:val="0"/>
          <w:kern w:val="0"/>
          <w:sz w:val="32"/>
          <w:szCs w:val="32"/>
          <w:shd w:val="clear" w:color="auto" w:fill="FFFFFF"/>
          <w:lang w:val="en-US" w:eastAsia="zh-CN" w:bidi="ar"/>
        </w:rPr>
        <w:t xml:space="preserve">附件2-2   </w:t>
      </w:r>
    </w:p>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rPr>
          <w:rFonts w:hint="eastAsia" w:ascii="黑体" w:hAnsi="黑体" w:eastAsia="黑体" w:cs="黑体"/>
          <w:i w:val="0"/>
          <w:iCs w:val="0"/>
          <w:caps w:val="0"/>
          <w:color w:val="auto"/>
          <w:spacing w:val="0"/>
          <w:kern w:val="0"/>
          <w:sz w:val="32"/>
          <w:szCs w:val="32"/>
          <w:shd w:val="clear" w:color="auto" w:fill="FFFFFF"/>
          <w:lang w:val="en-US" w:eastAsia="zh-CN" w:bidi="ar"/>
        </w:rPr>
      </w:pPr>
    </w:p>
    <w:p>
      <w:pPr>
        <w:keepNext w:val="0"/>
        <w:keepLines w:val="0"/>
        <w:pageBreakBefore w:val="0"/>
        <w:widowControl w:val="0"/>
        <w:kinsoku/>
        <w:wordWrap/>
        <w:overflowPunct w:val="0"/>
        <w:topLinePunct w:val="0"/>
        <w:autoSpaceDE/>
        <w:autoSpaceDN/>
        <w:bidi w:val="0"/>
        <w:adjustRightInd w:val="0"/>
        <w:snapToGrid w:val="0"/>
        <w:spacing w:line="500" w:lineRule="exact"/>
        <w:jc w:val="center"/>
        <w:textAlignment w:val="auto"/>
        <w:rPr>
          <w:rFonts w:hint="eastAsia" w:ascii="方正小标宋简体" w:hAnsi="方正小标宋简体" w:eastAsia="方正小标宋简体" w:cs="方正小标宋简体"/>
          <w:i w:val="0"/>
          <w:iCs w:val="0"/>
          <w:caps w:val="0"/>
          <w:color w:val="auto"/>
          <w:spacing w:val="0"/>
          <w:kern w:val="0"/>
          <w:sz w:val="44"/>
          <w:szCs w:val="44"/>
          <w:shd w:val="clear" w:color="auto" w:fill="FFFFFF"/>
          <w:lang w:val="en-US" w:eastAsia="zh-CN" w:bidi="ar"/>
        </w:rPr>
      </w:pPr>
      <w:r>
        <w:rPr>
          <w:rFonts w:hint="eastAsia" w:ascii="方正小标宋简体" w:hAnsi="方正小标宋简体" w:eastAsia="方正小标宋简体" w:cs="方正小标宋简体"/>
          <w:i w:val="0"/>
          <w:iCs w:val="0"/>
          <w:caps w:val="0"/>
          <w:color w:val="auto"/>
          <w:spacing w:val="0"/>
          <w:kern w:val="0"/>
          <w:sz w:val="44"/>
          <w:szCs w:val="44"/>
          <w:shd w:val="clear" w:color="auto" w:fill="FFFFFF"/>
          <w:lang w:val="en-US" w:eastAsia="zh-CN" w:bidi="ar"/>
        </w:rPr>
        <w:t>食品生产企业动态风险因素量化分值表</w:t>
      </w:r>
    </w:p>
    <w:p>
      <w:pPr>
        <w:keepNext w:val="0"/>
        <w:keepLines w:val="0"/>
        <w:pageBreakBefore w:val="0"/>
        <w:widowControl w:val="0"/>
        <w:kinsoku/>
        <w:wordWrap/>
        <w:overflowPunct w:val="0"/>
        <w:topLinePunct w:val="0"/>
        <w:autoSpaceDE/>
        <w:autoSpaceDN/>
        <w:bidi w:val="0"/>
        <w:adjustRightInd w:val="0"/>
        <w:snapToGrid w:val="0"/>
        <w:spacing w:line="500" w:lineRule="exact"/>
        <w:jc w:val="center"/>
        <w:textAlignment w:val="auto"/>
        <w:rPr>
          <w:rFonts w:hint="eastAsia" w:ascii="楷体_GB2312" w:hAnsi="楷体_GB2312" w:eastAsia="楷体_GB2312" w:cs="楷体_GB2312"/>
          <w:b/>
          <w:bCs/>
          <w:sz w:val="32"/>
          <w:szCs w:val="32"/>
          <w:highlight w:val="none"/>
          <w:lang w:eastAsia="zh-CN"/>
        </w:rPr>
      </w:pPr>
      <w:r>
        <w:rPr>
          <w:rFonts w:hint="eastAsia" w:ascii="楷体_GB2312" w:hAnsi="楷体_GB2312" w:eastAsia="楷体_GB2312" w:cs="楷体_GB2312"/>
          <w:b/>
          <w:bCs/>
          <w:sz w:val="32"/>
          <w:szCs w:val="32"/>
          <w:highlight w:val="none"/>
          <w:lang w:eastAsia="zh-CN"/>
        </w:rPr>
        <w:t>（日常监督检查要点表）</w:t>
      </w:r>
    </w:p>
    <w:tbl>
      <w:tblPr>
        <w:tblStyle w:val="10"/>
        <w:tblW w:w="1417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1500"/>
        <w:gridCol w:w="974"/>
        <w:gridCol w:w="7052"/>
        <w:gridCol w:w="1422"/>
        <w:gridCol w:w="804"/>
        <w:gridCol w:w="789"/>
        <w:gridCol w:w="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blHeader/>
          <w:jc w:val="center"/>
        </w:trPr>
        <w:tc>
          <w:tcPr>
            <w:tcW w:w="716"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黑体" w:hAnsi="黑体" w:eastAsia="黑体" w:cs="黑体"/>
                <w:snapToGrid w:val="0"/>
                <w:color w:val="auto"/>
                <w:spacing w:val="0"/>
                <w:kern w:val="0"/>
                <w:sz w:val="24"/>
                <w:szCs w:val="24"/>
                <w:lang w:eastAsia="zh-CN"/>
              </w:rPr>
            </w:pPr>
            <w:r>
              <w:rPr>
                <w:rFonts w:hint="eastAsia" w:ascii="黑体" w:hAnsi="黑体" w:eastAsia="黑体" w:cs="黑体"/>
                <w:snapToGrid w:val="0"/>
                <w:color w:val="auto"/>
                <w:spacing w:val="0"/>
                <w:kern w:val="0"/>
                <w:sz w:val="24"/>
                <w:szCs w:val="24"/>
                <w:lang w:eastAsia="zh-CN"/>
              </w:rPr>
              <w:t>序号</w:t>
            </w:r>
          </w:p>
        </w:tc>
        <w:tc>
          <w:tcPr>
            <w:tcW w:w="1500"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黑体" w:hAnsi="黑体" w:eastAsia="黑体" w:cs="黑体"/>
                <w:snapToGrid w:val="0"/>
                <w:color w:val="auto"/>
                <w:spacing w:val="0"/>
                <w:kern w:val="0"/>
                <w:sz w:val="24"/>
                <w:szCs w:val="24"/>
              </w:rPr>
            </w:pPr>
            <w:r>
              <w:rPr>
                <w:rFonts w:hint="eastAsia" w:ascii="黑体" w:hAnsi="黑体" w:eastAsia="黑体" w:cs="黑体"/>
                <w:snapToGrid w:val="0"/>
                <w:color w:val="auto"/>
                <w:spacing w:val="0"/>
                <w:kern w:val="0"/>
                <w:sz w:val="24"/>
                <w:szCs w:val="24"/>
              </w:rPr>
              <w:t>检查项目</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黑体" w:hAnsi="黑体" w:eastAsia="黑体" w:cs="黑体"/>
                <w:snapToGrid w:val="0"/>
                <w:color w:val="auto"/>
                <w:spacing w:val="0"/>
                <w:kern w:val="0"/>
                <w:sz w:val="24"/>
                <w:szCs w:val="24"/>
              </w:rPr>
            </w:pPr>
            <w:r>
              <w:rPr>
                <w:rFonts w:hint="eastAsia" w:ascii="黑体" w:hAnsi="黑体" w:eastAsia="黑体" w:cs="黑体"/>
                <w:snapToGrid w:val="0"/>
                <w:color w:val="auto"/>
                <w:spacing w:val="0"/>
                <w:kern w:val="0"/>
                <w:sz w:val="24"/>
                <w:szCs w:val="24"/>
              </w:rPr>
              <w:t>项目</w:t>
            </w:r>
          </w:p>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黑体" w:hAnsi="黑体" w:eastAsia="黑体" w:cs="黑体"/>
                <w:snapToGrid w:val="0"/>
                <w:color w:val="auto"/>
                <w:spacing w:val="0"/>
                <w:kern w:val="0"/>
                <w:sz w:val="24"/>
                <w:szCs w:val="24"/>
              </w:rPr>
            </w:pPr>
            <w:r>
              <w:rPr>
                <w:rFonts w:hint="eastAsia" w:ascii="黑体" w:hAnsi="黑体" w:eastAsia="黑体" w:cs="黑体"/>
                <w:snapToGrid w:val="0"/>
                <w:color w:val="auto"/>
                <w:spacing w:val="0"/>
                <w:kern w:val="0"/>
                <w:sz w:val="24"/>
                <w:szCs w:val="24"/>
              </w:rPr>
              <w:t>序号</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黑体" w:hAnsi="黑体" w:eastAsia="黑体" w:cs="黑体"/>
                <w:snapToGrid w:val="0"/>
                <w:color w:val="auto"/>
                <w:spacing w:val="0"/>
                <w:kern w:val="0"/>
                <w:sz w:val="24"/>
                <w:szCs w:val="24"/>
              </w:rPr>
            </w:pPr>
            <w:r>
              <w:rPr>
                <w:rFonts w:hint="eastAsia" w:ascii="黑体" w:hAnsi="黑体" w:eastAsia="黑体" w:cs="黑体"/>
                <w:snapToGrid w:val="0"/>
                <w:color w:val="auto"/>
                <w:spacing w:val="0"/>
                <w:kern w:val="0"/>
                <w:sz w:val="24"/>
                <w:szCs w:val="24"/>
                <w:lang w:eastAsia="zh-CN"/>
              </w:rPr>
              <w:t>监督</w:t>
            </w:r>
            <w:r>
              <w:rPr>
                <w:rFonts w:hint="eastAsia" w:ascii="黑体" w:hAnsi="黑体" w:eastAsia="黑体" w:cs="黑体"/>
                <w:snapToGrid w:val="0"/>
                <w:color w:val="auto"/>
                <w:spacing w:val="0"/>
                <w:kern w:val="0"/>
                <w:sz w:val="24"/>
                <w:szCs w:val="24"/>
              </w:rPr>
              <w:t>检查内容</w:t>
            </w:r>
          </w:p>
        </w:tc>
        <w:tc>
          <w:tcPr>
            <w:tcW w:w="142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黑体" w:hAnsi="黑体" w:eastAsia="黑体" w:cs="黑体"/>
                <w:snapToGrid w:val="0"/>
                <w:color w:val="auto"/>
                <w:spacing w:val="0"/>
                <w:kern w:val="0"/>
                <w:sz w:val="24"/>
                <w:szCs w:val="24"/>
              </w:rPr>
            </w:pPr>
            <w:r>
              <w:rPr>
                <w:rFonts w:hint="eastAsia" w:ascii="黑体" w:hAnsi="黑体" w:eastAsia="黑体" w:cs="黑体"/>
                <w:snapToGrid w:val="0"/>
                <w:color w:val="auto"/>
                <w:spacing w:val="0"/>
                <w:kern w:val="0"/>
                <w:sz w:val="24"/>
                <w:szCs w:val="24"/>
              </w:rPr>
              <w:t>评价</w:t>
            </w:r>
          </w:p>
        </w:tc>
        <w:tc>
          <w:tcPr>
            <w:tcW w:w="80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黑体" w:hAnsi="黑体" w:eastAsia="黑体" w:cs="黑体"/>
                <w:snapToGrid w:val="0"/>
                <w:color w:val="auto"/>
                <w:spacing w:val="0"/>
                <w:kern w:val="0"/>
                <w:sz w:val="24"/>
                <w:szCs w:val="24"/>
                <w:lang w:eastAsia="zh-CN"/>
              </w:rPr>
            </w:pPr>
            <w:r>
              <w:rPr>
                <w:rFonts w:hint="eastAsia" w:ascii="黑体" w:hAnsi="黑体" w:eastAsia="黑体" w:cs="黑体"/>
                <w:snapToGrid w:val="0"/>
                <w:color w:val="auto"/>
                <w:spacing w:val="0"/>
                <w:kern w:val="0"/>
                <w:sz w:val="24"/>
                <w:szCs w:val="24"/>
                <w:lang w:val="en-US" w:eastAsia="zh-CN"/>
              </w:rPr>
              <w:t>风险分值</w:t>
            </w:r>
          </w:p>
        </w:tc>
        <w:tc>
          <w:tcPr>
            <w:tcW w:w="789"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黑体" w:hAnsi="黑体" w:eastAsia="黑体" w:cs="黑体"/>
                <w:snapToGrid w:val="0"/>
                <w:color w:val="auto"/>
                <w:spacing w:val="0"/>
                <w:kern w:val="0"/>
                <w:sz w:val="24"/>
                <w:szCs w:val="24"/>
                <w:lang w:eastAsia="zh-CN"/>
              </w:rPr>
            </w:pPr>
            <w:r>
              <w:rPr>
                <w:rFonts w:hint="eastAsia" w:ascii="黑体" w:hAnsi="黑体" w:eastAsia="黑体" w:cs="黑体"/>
                <w:snapToGrid w:val="0"/>
                <w:color w:val="auto"/>
                <w:spacing w:val="0"/>
                <w:kern w:val="0"/>
                <w:sz w:val="24"/>
                <w:szCs w:val="24"/>
                <w:lang w:eastAsia="zh-CN"/>
              </w:rPr>
              <w:t>得分</w:t>
            </w:r>
          </w:p>
        </w:tc>
        <w:tc>
          <w:tcPr>
            <w:tcW w:w="916"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黑体" w:hAnsi="黑体" w:eastAsia="黑体" w:cs="黑体"/>
                <w:snapToGrid w:val="0"/>
                <w:color w:val="auto"/>
                <w:spacing w:val="0"/>
                <w:kern w:val="0"/>
                <w:sz w:val="24"/>
                <w:szCs w:val="24"/>
                <w:lang w:eastAsia="zh-CN"/>
              </w:rPr>
            </w:pPr>
            <w:r>
              <w:rPr>
                <w:rFonts w:hint="eastAsia" w:ascii="黑体" w:hAnsi="黑体" w:eastAsia="黑体" w:cs="黑体"/>
                <w:snapToGrid w:val="0"/>
                <w:color w:val="auto"/>
                <w:spacing w:val="0"/>
                <w:kern w:val="0"/>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val="en-US" w:eastAsia="zh-CN"/>
              </w:rPr>
              <w:t>食品生产者资质</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*1.1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具有合法主体资质，生产许可证在有效期内。</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w:t>
            </w:r>
            <w:r>
              <w:rPr>
                <w:rFonts w:hint="eastAsia" w:ascii="仿宋_GB2312" w:hAnsi="仿宋_GB2312" w:eastAsia="仿宋_GB2312" w:cs="仿宋_GB2312"/>
                <w:snapToGrid w:val="0"/>
                <w:color w:val="auto"/>
                <w:spacing w:val="0"/>
                <w:kern w:val="0"/>
                <w:sz w:val="24"/>
                <w:szCs w:val="24"/>
                <w:lang w:val="en-US" w:eastAsia="zh-CN"/>
              </w:rPr>
              <w:t>1.2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生产的食品、食品添加剂在许可范围内。</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*T.1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实际生产的特殊食品按规定注册或备案，注册证书或备案凭证符合要求。</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2</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val="en-US" w:eastAsia="zh-CN"/>
              </w:rPr>
              <w:t>生产环境条件</w:t>
            </w:r>
            <w:r>
              <w:rPr>
                <w:rFonts w:hint="eastAsia" w:ascii="仿宋_GB2312" w:hAnsi="仿宋_GB2312" w:eastAsia="仿宋_GB2312" w:cs="仿宋_GB2312"/>
                <w:snapToGrid w:val="0"/>
                <w:color w:val="auto"/>
                <w:spacing w:val="0"/>
                <w:kern w:val="0"/>
                <w:sz w:val="24"/>
                <w:szCs w:val="24"/>
                <w:lang w:eastAsia="zh-CN"/>
              </w:rPr>
              <w:t>（厂区、车间、设施、设备）</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2.1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厂区无扬尘、无积水，厂区、车间卫生整洁。</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en-US" w:bidi="en-US"/>
              </w:rPr>
            </w:pPr>
            <w:r>
              <w:rPr>
                <w:rFonts w:hint="eastAsia" w:ascii="仿宋_GB2312" w:hAnsi="仿宋_GB2312" w:eastAsia="仿宋_GB2312" w:cs="仿宋_GB2312"/>
                <w:snapToGrid w:val="0"/>
                <w:color w:val="auto"/>
                <w:spacing w:val="0"/>
                <w:kern w:val="0"/>
                <w:sz w:val="24"/>
                <w:szCs w:val="24"/>
                <w:lang w:eastAsia="zh-CN"/>
              </w:rPr>
              <w:t>*2.2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eastAsia="zh-CN"/>
              </w:rPr>
              <w:t>厂区、车间与有毒、有害场所及其他污染源保持</w:t>
            </w:r>
            <w:r>
              <w:rPr>
                <w:rFonts w:hint="eastAsia" w:ascii="仿宋_GB2312" w:hAnsi="仿宋_GB2312" w:eastAsia="仿宋_GB2312" w:cs="仿宋_GB2312"/>
                <w:snapToGrid w:val="0"/>
                <w:color w:val="auto"/>
                <w:spacing w:val="0"/>
                <w:kern w:val="0"/>
                <w:sz w:val="24"/>
                <w:szCs w:val="24"/>
                <w:highlight w:val="none"/>
                <w:lang w:eastAsia="zh-CN"/>
              </w:rPr>
              <w:t>规定的距离</w:t>
            </w:r>
            <w:r>
              <w:rPr>
                <w:rFonts w:hint="eastAsia" w:ascii="仿宋_GB2312" w:hAnsi="仿宋_GB2312" w:eastAsia="仿宋_GB2312" w:cs="仿宋_GB2312"/>
                <w:snapToGrid w:val="0"/>
                <w:color w:val="auto"/>
                <w:spacing w:val="0"/>
                <w:kern w:val="0"/>
                <w:sz w:val="24"/>
                <w:szCs w:val="24"/>
                <w:lang w:eastAsia="zh-CN"/>
              </w:rPr>
              <w:t>或具备有效防范措施。</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2.3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设备布局和工艺流程、主要生产设备设施与准予食品生产许可时</w:t>
            </w: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保持一致。</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2.</w:t>
            </w:r>
            <w:r>
              <w:rPr>
                <w:rFonts w:hint="eastAsia" w:ascii="仿宋_GB2312" w:hAnsi="仿宋_GB2312" w:eastAsia="仿宋_GB2312" w:cs="仿宋_GB2312"/>
                <w:snapToGrid w:val="0"/>
                <w:color w:val="auto"/>
                <w:spacing w:val="0"/>
                <w:kern w:val="0"/>
                <w:sz w:val="24"/>
                <w:szCs w:val="24"/>
                <w:lang w:val="en-US" w:eastAsia="zh-CN"/>
              </w:rPr>
              <w:t>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卫生间保持清洁，未与食品生产、包装或贮存等区域直接连通。</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2.</w:t>
            </w:r>
            <w:r>
              <w:rPr>
                <w:rFonts w:hint="eastAsia" w:ascii="仿宋_GB2312" w:hAnsi="仿宋_GB2312" w:eastAsia="仿宋_GB2312" w:cs="仿宋_GB2312"/>
                <w:snapToGrid w:val="0"/>
                <w:color w:val="auto"/>
                <w:spacing w:val="0"/>
                <w:kern w:val="0"/>
                <w:sz w:val="24"/>
                <w:szCs w:val="24"/>
                <w:lang w:val="en-US" w:eastAsia="zh-CN"/>
              </w:rPr>
              <w:t>5</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有更衣、洗手、干手、消毒等卫生设备设施，满足正常使用。</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2.</w:t>
            </w:r>
            <w:r>
              <w:rPr>
                <w:rFonts w:hint="eastAsia" w:ascii="仿宋_GB2312" w:hAnsi="仿宋_GB2312" w:eastAsia="仿宋_GB2312" w:cs="仿宋_GB2312"/>
                <w:snapToGrid w:val="0"/>
                <w:color w:val="auto"/>
                <w:spacing w:val="0"/>
                <w:kern w:val="0"/>
                <w:sz w:val="24"/>
                <w:szCs w:val="24"/>
                <w:lang w:val="en-US" w:eastAsia="zh-CN"/>
              </w:rPr>
              <w:t>6</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通风、防尘、排水、照明、温控等设备设施正常运行，存放垃圾、废弃物的设备设施标识清晰，</w:t>
            </w:r>
            <w:r>
              <w:rPr>
                <w:rFonts w:hint="eastAsia" w:ascii="仿宋_GB2312" w:hAnsi="仿宋_GB2312" w:eastAsia="仿宋_GB2312" w:cs="仿宋_GB2312"/>
                <w:snapToGrid w:val="0"/>
                <w:color w:val="000000" w:themeColor="text1"/>
                <w:spacing w:val="0"/>
                <w:kern w:val="0"/>
                <w:sz w:val="24"/>
                <w:szCs w:val="24"/>
                <w:highlight w:val="none"/>
                <w:lang w:eastAsia="zh-CN"/>
                <w14:textFill>
                  <w14:solidFill>
                    <w14:schemeClr w14:val="tx1"/>
                  </w14:solidFill>
                </w14:textFill>
              </w:rPr>
              <w:t>有效防护。</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2.7</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车间内使用的洗涤剂、消毒剂等化学品明显标示、分类贮存，</w:t>
            </w: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与食品原料、半成品、成品、包装材料等分隔放置，并有相应的使用记录。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2.</w:t>
            </w:r>
            <w:r>
              <w:rPr>
                <w:rFonts w:hint="eastAsia" w:ascii="仿宋_GB2312" w:hAnsi="仿宋_GB2312" w:eastAsia="仿宋_GB2312" w:cs="仿宋_GB2312"/>
                <w:snapToGrid w:val="0"/>
                <w:color w:val="auto"/>
                <w:spacing w:val="0"/>
                <w:kern w:val="0"/>
                <w:sz w:val="24"/>
                <w:szCs w:val="24"/>
                <w:lang w:val="en-US" w:eastAsia="zh-CN"/>
              </w:rPr>
              <w:t>8</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生产设备设施定期维护保养，并有相应的记录。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2"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val="en-US" w:eastAsia="zh-CN"/>
              </w:rPr>
              <w:t>2</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val="en-US" w:eastAsia="zh-CN"/>
              </w:rPr>
              <w:t>生产环境条件</w:t>
            </w:r>
            <w:r>
              <w:rPr>
                <w:rFonts w:hint="eastAsia" w:ascii="仿宋_GB2312" w:hAnsi="仿宋_GB2312" w:eastAsia="仿宋_GB2312" w:cs="仿宋_GB2312"/>
                <w:snapToGrid w:val="0"/>
                <w:color w:val="auto"/>
                <w:spacing w:val="0"/>
                <w:kern w:val="0"/>
                <w:sz w:val="24"/>
                <w:szCs w:val="24"/>
                <w:lang w:eastAsia="zh-CN"/>
              </w:rPr>
              <w:t>（厂区、车间、设施、设备）</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en-US" w:bidi="en-US"/>
              </w:rPr>
            </w:pPr>
            <w:r>
              <w:rPr>
                <w:rFonts w:hint="eastAsia" w:ascii="仿宋_GB2312" w:hAnsi="仿宋_GB2312" w:eastAsia="仿宋_GB2312" w:cs="仿宋_GB2312"/>
                <w:snapToGrid w:val="0"/>
                <w:color w:val="auto"/>
                <w:spacing w:val="0"/>
                <w:kern w:val="0"/>
                <w:sz w:val="24"/>
                <w:szCs w:val="24"/>
                <w:lang w:eastAsia="zh-CN"/>
              </w:rPr>
              <w:t>2.</w:t>
            </w:r>
            <w:r>
              <w:rPr>
                <w:rFonts w:hint="eastAsia" w:ascii="仿宋_GB2312" w:hAnsi="仿宋_GB2312" w:eastAsia="仿宋_GB2312" w:cs="仿宋_GB2312"/>
                <w:snapToGrid w:val="0"/>
                <w:color w:val="auto"/>
                <w:spacing w:val="0"/>
                <w:kern w:val="0"/>
                <w:sz w:val="24"/>
                <w:szCs w:val="24"/>
                <w:lang w:val="en-US" w:eastAsia="zh-CN"/>
              </w:rPr>
              <w:t>9</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监控设备（如压力表、温度计）定期检定或校准、维护，并有相关记录。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1"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en-US" w:bidi="en-US"/>
              </w:rPr>
            </w:pPr>
            <w:r>
              <w:rPr>
                <w:rFonts w:hint="eastAsia" w:ascii="仿宋_GB2312" w:hAnsi="仿宋_GB2312" w:eastAsia="仿宋_GB2312" w:cs="仿宋_GB2312"/>
                <w:snapToGrid w:val="0"/>
                <w:color w:val="auto"/>
                <w:spacing w:val="0"/>
                <w:kern w:val="0"/>
                <w:sz w:val="24"/>
                <w:szCs w:val="24"/>
                <w:lang w:eastAsia="zh-CN"/>
              </w:rPr>
              <w:t>2.</w:t>
            </w:r>
            <w:r>
              <w:rPr>
                <w:rFonts w:hint="eastAsia" w:ascii="仿宋_GB2312" w:hAnsi="仿宋_GB2312" w:eastAsia="仿宋_GB2312" w:cs="仿宋_GB2312"/>
                <w:snapToGrid w:val="0"/>
                <w:color w:val="auto"/>
                <w:spacing w:val="0"/>
                <w:kern w:val="0"/>
                <w:sz w:val="24"/>
                <w:szCs w:val="24"/>
                <w:lang w:val="en-US" w:eastAsia="zh-CN"/>
              </w:rPr>
              <w:t>10</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定期检查防鼠、防蝇、防虫害装置的使用情况并有相应检查记录，生产场所无虫害迹象。</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6"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2.11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准清洁作业区、清洁作业区设置合理并有效分割。</w:t>
            </w:r>
            <w:r>
              <w:rPr>
                <w:rFonts w:hint="eastAsia" w:ascii="仿宋_GB2312" w:hAnsi="仿宋_GB2312" w:eastAsia="仿宋_GB2312" w:cs="仿宋_GB2312"/>
                <w:snapToGrid w:val="0"/>
                <w:color w:val="000000" w:themeColor="text1"/>
                <w:spacing w:val="0"/>
                <w:kern w:val="0"/>
                <w:sz w:val="24"/>
                <w:szCs w:val="24"/>
                <w14:textFill>
                  <w14:solidFill>
                    <w14:schemeClr w14:val="tx1"/>
                  </w14:solidFill>
                </w14:textFill>
              </w:rPr>
              <w:t>有空气净化要求的</w:t>
            </w: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，应当符合相应要求，并对空气洁净度、压差、换气次数、温度、湿度等进行监测及记录。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6"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1500" w:type="dxa"/>
            <w:vMerge w:val="restart"/>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rPr>
              <w:t>进货查验</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*3.1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查验食品原料、食品添加剂、食品相关产品供货者的许可证、产品合格证明文件等；供货者无法提供有效合格证明文件的，有检验记录。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1"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*3.2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进货查验记录及证明材料真实、完整，记录和凭证保存期限符合要求。</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3.3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建立和保存食品原料、食品添加剂、食品相关产品的贮存、保管记录、领用出库和退库记录。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2"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*T.</w:t>
            </w:r>
            <w:r>
              <w:rPr>
                <w:rFonts w:hint="eastAsia" w:ascii="仿宋_GB2312" w:hAnsi="仿宋_GB2312" w:eastAsia="仿宋_GB2312" w:cs="仿宋_GB2312"/>
                <w:snapToGrid w:val="0"/>
                <w:color w:val="auto"/>
                <w:spacing w:val="0"/>
                <w:kern w:val="0"/>
                <w:sz w:val="24"/>
                <w:szCs w:val="24"/>
                <w:lang w:val="en-US" w:eastAsia="zh-CN"/>
              </w:rPr>
              <w:t>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生产特殊食品使用的原料、食品添加剂与注册或备案的技术要求一致。</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3"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4</w:t>
            </w:r>
          </w:p>
        </w:tc>
        <w:tc>
          <w:tcPr>
            <w:tcW w:w="1500" w:type="dxa"/>
            <w:vMerge w:val="restart"/>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rPr>
              <w:t>生产过程控制</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使用的食品原料、食品添加剂、食品相关产品的品种与索证索票、进货查验记录内容一致。</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6"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FF0000"/>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FF0000"/>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建立和保存生产投料记录，包括投料品名、生产日期或批号、使用数量等。</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6"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FF0000"/>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FF0000"/>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w:t>
            </w:r>
            <w:r>
              <w:rPr>
                <w:rFonts w:hint="eastAsia" w:ascii="仿宋_GB2312" w:hAnsi="仿宋_GB2312" w:eastAsia="仿宋_GB2312" w:cs="仿宋_GB2312"/>
                <w:snapToGrid w:val="0"/>
                <w:color w:val="auto"/>
                <w:spacing w:val="0"/>
                <w:kern w:val="0"/>
                <w:sz w:val="24"/>
                <w:szCs w:val="24"/>
                <w:lang w:val="en-US" w:eastAsia="zh-CN"/>
              </w:rPr>
              <w:t>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未发现使用非食品原料、食品添加剂以外的化学物质、回收食品、超过保质期与不符合食品安全标准的食品原料和食品添加剂投入生产。</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w:t>
            </w:r>
            <w:r>
              <w:rPr>
                <w:rFonts w:hint="eastAsia" w:ascii="仿宋_GB2312" w:hAnsi="仿宋_GB2312" w:eastAsia="仿宋_GB2312" w:cs="仿宋_GB2312"/>
                <w:snapToGrid w:val="0"/>
                <w:color w:val="auto"/>
                <w:spacing w:val="0"/>
                <w:kern w:val="0"/>
                <w:sz w:val="24"/>
                <w:szCs w:val="24"/>
                <w:lang w:val="en-US" w:eastAsia="zh-CN"/>
              </w:rPr>
              <w:t>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未发现超范围、超限量使用食品添加剂的情况。</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4</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rPr>
              <w:t>生产过程控制</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w:t>
            </w:r>
            <w:r>
              <w:rPr>
                <w:rFonts w:hint="eastAsia" w:ascii="仿宋_GB2312" w:hAnsi="仿宋_GB2312" w:eastAsia="仿宋_GB2312" w:cs="仿宋_GB2312"/>
                <w:snapToGrid w:val="0"/>
                <w:color w:val="auto"/>
                <w:spacing w:val="0"/>
                <w:kern w:val="0"/>
                <w:sz w:val="24"/>
                <w:szCs w:val="24"/>
                <w:lang w:val="en-US" w:eastAsia="zh-CN"/>
              </w:rPr>
              <w:t>5</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生产或使用的新食品原料，限定于国务院卫生行政部门公吿的新食品原料范围内。</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w:t>
            </w:r>
            <w:r>
              <w:rPr>
                <w:rFonts w:hint="eastAsia" w:ascii="仿宋_GB2312" w:hAnsi="仿宋_GB2312" w:eastAsia="仿宋_GB2312" w:cs="仿宋_GB2312"/>
                <w:snapToGrid w:val="0"/>
                <w:color w:val="auto"/>
                <w:spacing w:val="0"/>
                <w:kern w:val="0"/>
                <w:sz w:val="24"/>
                <w:szCs w:val="24"/>
                <w:lang w:val="en-US" w:eastAsia="zh-CN"/>
              </w:rPr>
              <w:t>6</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未发现使用药品生产食品，未发现仅用于保健食品的原料生产保健食品以外的食品。</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w:t>
            </w:r>
            <w:r>
              <w:rPr>
                <w:rFonts w:hint="eastAsia" w:ascii="仿宋_GB2312" w:hAnsi="仿宋_GB2312" w:eastAsia="仿宋_GB2312" w:cs="仿宋_GB2312"/>
                <w:snapToGrid w:val="0"/>
                <w:color w:val="auto"/>
                <w:spacing w:val="0"/>
                <w:kern w:val="0"/>
                <w:sz w:val="24"/>
                <w:szCs w:val="24"/>
                <w:lang w:val="en-US" w:eastAsia="zh-CN"/>
              </w:rPr>
              <w:t>7</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生产记录中的生产工艺和参数与准予食品生产许可时保持一致。</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w:t>
            </w:r>
            <w:r>
              <w:rPr>
                <w:rFonts w:hint="eastAsia" w:ascii="仿宋_GB2312" w:hAnsi="仿宋_GB2312" w:eastAsia="仿宋_GB2312" w:cs="仿宋_GB2312"/>
                <w:snapToGrid w:val="0"/>
                <w:color w:val="auto"/>
                <w:spacing w:val="0"/>
                <w:kern w:val="0"/>
                <w:sz w:val="24"/>
                <w:szCs w:val="24"/>
                <w:lang w:val="en-US" w:eastAsia="zh-CN"/>
              </w:rPr>
              <w:t>8</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建立和保存生产加工过程关键控制点的控制情况记录。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1"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w:t>
            </w:r>
            <w:r>
              <w:rPr>
                <w:rFonts w:hint="eastAsia" w:ascii="仿宋_GB2312" w:hAnsi="仿宋_GB2312" w:eastAsia="仿宋_GB2312" w:cs="仿宋_GB2312"/>
                <w:snapToGrid w:val="0"/>
                <w:color w:val="auto"/>
                <w:spacing w:val="0"/>
                <w:kern w:val="0"/>
                <w:sz w:val="24"/>
                <w:szCs w:val="24"/>
                <w:lang w:val="en-US" w:eastAsia="zh-CN"/>
              </w:rPr>
              <w:t>9</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生产现场未发现人流、物流交叉污染。</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4.1</w:t>
            </w:r>
            <w:r>
              <w:rPr>
                <w:rFonts w:hint="eastAsia" w:ascii="仿宋_GB2312" w:hAnsi="仿宋_GB2312" w:eastAsia="仿宋_GB2312" w:cs="仿宋_GB2312"/>
                <w:snapToGrid w:val="0"/>
                <w:color w:val="auto"/>
                <w:spacing w:val="0"/>
                <w:kern w:val="0"/>
                <w:sz w:val="24"/>
                <w:szCs w:val="24"/>
                <w:lang w:val="en-US" w:eastAsia="zh-CN"/>
              </w:rPr>
              <w:t>0</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val="en-US" w:eastAsia="zh-CN" w:bidi="zh-TW"/>
                <w14:textFill>
                  <w14:solidFill>
                    <w14:schemeClr w14:val="tx1"/>
                  </w14:solidFill>
                </w14:textFill>
              </w:rPr>
              <w:t>未发现待加工食品与直接入口食品、原料与成品交叉污染。</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4.1</w:t>
            </w:r>
            <w:r>
              <w:rPr>
                <w:rFonts w:hint="eastAsia" w:ascii="仿宋_GB2312" w:hAnsi="仿宋_GB2312" w:eastAsia="仿宋_GB2312" w:cs="仿宋_GB2312"/>
                <w:snapToGrid w:val="0"/>
                <w:color w:val="auto"/>
                <w:spacing w:val="0"/>
                <w:kern w:val="0"/>
                <w:sz w:val="24"/>
                <w:szCs w:val="24"/>
                <w:lang w:val="en-US" w:eastAsia="zh-CN"/>
              </w:rPr>
              <w:t>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有温、湿度等生产环境监测要求的，定期进行监测并记录。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0"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4.1</w:t>
            </w:r>
            <w:r>
              <w:rPr>
                <w:rFonts w:hint="eastAsia" w:ascii="仿宋_GB2312" w:hAnsi="仿宋_GB2312" w:eastAsia="仿宋_GB2312" w:cs="仿宋_GB2312"/>
                <w:snapToGrid w:val="0"/>
                <w:color w:val="auto"/>
                <w:spacing w:val="0"/>
                <w:kern w:val="0"/>
                <w:sz w:val="24"/>
                <w:szCs w:val="24"/>
                <w:lang w:val="en-US" w:eastAsia="zh-CN"/>
              </w:rPr>
              <w:t>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工作人员穿戴工作衣帽，洗手消毒后进入生产车间。生产车间内未发现与生产无关的个人用品或者其他与生产不相关物品。</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6"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4.13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FF0000"/>
                <w:spacing w:val="0"/>
                <w:kern w:val="0"/>
                <w:sz w:val="24"/>
                <w:szCs w:val="24"/>
              </w:rPr>
            </w:pPr>
            <w:r>
              <w:rPr>
                <w:rFonts w:hint="eastAsia" w:ascii="仿宋_GB2312" w:hAnsi="仿宋_GB2312" w:eastAsia="仿宋_GB2312" w:cs="仿宋_GB2312"/>
                <w:snapToGrid w:val="0"/>
                <w:color w:val="auto"/>
                <w:spacing w:val="0"/>
                <w:kern w:val="0"/>
                <w:sz w:val="24"/>
                <w:szCs w:val="24"/>
                <w:lang w:eastAsia="zh-CN"/>
              </w:rPr>
              <w:t>食品生产加工用水的水质符合规定要求并有检测报告，与其他不与食品接触的用水以完全分离的管路输送。</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4"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val="en-US" w:eastAsia="zh-CN"/>
              </w:rPr>
              <w:t>4.14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食品添加剂生产使用的原料和生产工艺符合产品标准规定。复配食品添加剂配方发生变化的，按规定报告。</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*T.</w:t>
            </w:r>
            <w:r>
              <w:rPr>
                <w:rFonts w:hint="eastAsia" w:ascii="仿宋_GB2312" w:hAnsi="仿宋_GB2312" w:eastAsia="仿宋_GB2312" w:cs="仿宋_GB2312"/>
                <w:snapToGrid w:val="0"/>
                <w:color w:val="auto"/>
                <w:spacing w:val="0"/>
                <w:kern w:val="0"/>
                <w:sz w:val="24"/>
                <w:szCs w:val="24"/>
                <w:lang w:val="en-US" w:eastAsia="zh-CN"/>
              </w:rPr>
              <w:t>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按照经特殊食品注册或备案的产品配方、生产工艺等技术要求组织生产。</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*T.</w:t>
            </w:r>
            <w:r>
              <w:rPr>
                <w:rFonts w:hint="eastAsia" w:ascii="仿宋_GB2312" w:hAnsi="仿宋_GB2312" w:eastAsia="仿宋_GB2312" w:cs="仿宋_GB2312"/>
                <w:snapToGrid w:val="0"/>
                <w:color w:val="auto"/>
                <w:spacing w:val="0"/>
                <w:kern w:val="0"/>
                <w:sz w:val="24"/>
                <w:szCs w:val="24"/>
                <w:lang w:val="en-US" w:eastAsia="zh-CN"/>
              </w:rPr>
              <w:t>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批生产记录真实、完整、可追溯，批生产记录中的生产工艺和参数等与工艺规程和有关制度要求一致。</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T.</w:t>
            </w:r>
            <w:r>
              <w:rPr>
                <w:rFonts w:hint="eastAsia" w:ascii="仿宋_GB2312" w:hAnsi="仿宋_GB2312" w:eastAsia="仿宋_GB2312" w:cs="仿宋_GB2312"/>
                <w:snapToGrid w:val="0"/>
                <w:color w:val="auto"/>
                <w:spacing w:val="0"/>
                <w:kern w:val="0"/>
                <w:sz w:val="24"/>
                <w:szCs w:val="24"/>
                <w:lang w:val="en-US" w:eastAsia="zh-CN"/>
              </w:rPr>
              <w:t>5</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原料、食品添加剂实际使用量与注册或备案的配方和批生产记录中的使用量一致。</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T.</w:t>
            </w:r>
            <w:r>
              <w:rPr>
                <w:rFonts w:hint="eastAsia" w:ascii="仿宋_GB2312" w:hAnsi="仿宋_GB2312" w:eastAsia="仿宋_GB2312" w:cs="仿宋_GB2312"/>
                <w:snapToGrid w:val="0"/>
                <w:color w:val="auto"/>
                <w:spacing w:val="0"/>
                <w:kern w:val="0"/>
                <w:sz w:val="24"/>
                <w:szCs w:val="24"/>
                <w:lang w:val="en-US" w:eastAsia="zh-CN"/>
              </w:rPr>
              <w:t>6</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保健食品</w:t>
            </w: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原料</w:t>
            </w:r>
            <w:r>
              <w:rPr>
                <w:rFonts w:hint="eastAsia" w:ascii="仿宋_GB2312" w:hAnsi="仿宋_GB2312" w:eastAsia="仿宋_GB2312" w:cs="仿宋_GB2312"/>
                <w:snapToGrid w:val="0"/>
                <w:color w:val="auto"/>
                <w:spacing w:val="0"/>
                <w:kern w:val="0"/>
                <w:sz w:val="24"/>
                <w:szCs w:val="24"/>
                <w:lang w:eastAsia="zh-CN"/>
              </w:rPr>
              <w:t>提取物或原料前处理符合要求。</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
                <w:bCs/>
                <w:i/>
                <w:iCs/>
                <w:snapToGrid w:val="0"/>
                <w:color w:val="auto"/>
                <w:spacing w:val="0"/>
                <w:kern w:val="0"/>
                <w:sz w:val="24"/>
                <w:szCs w:val="24"/>
                <w:lang w:val="en-US" w:eastAsia="zh-CN"/>
              </w:rPr>
            </w:pPr>
            <w:r>
              <w:rPr>
                <w:rFonts w:hint="eastAsia" w:ascii="仿宋_GB2312" w:hAnsi="仿宋_GB2312" w:eastAsia="仿宋_GB2312" w:cs="仿宋_GB2312"/>
                <w:b w:val="0"/>
                <w:bCs w:val="0"/>
                <w:i w:val="0"/>
                <w:iCs w:val="0"/>
                <w:snapToGrid w:val="0"/>
                <w:color w:val="auto"/>
                <w:spacing w:val="0"/>
                <w:kern w:val="0"/>
                <w:sz w:val="24"/>
                <w:szCs w:val="24"/>
                <w:lang w:val="en-US" w:eastAsia="zh-CN"/>
              </w:rPr>
              <w:t>5</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委托生产</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*5.1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委托方、受托方具有有效证照，委托生产的食品、食品添加剂符合法律、法规、食品安全标准等规定。</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
                <w:bCs/>
                <w:i/>
                <w:iCs/>
                <w:snapToGrid w:val="0"/>
                <w:color w:val="auto"/>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5.</w:t>
            </w:r>
            <w:r>
              <w:rPr>
                <w:rFonts w:hint="eastAsia" w:ascii="仿宋_GB2312" w:hAnsi="仿宋_GB2312" w:eastAsia="仿宋_GB2312" w:cs="仿宋_GB2312"/>
                <w:snapToGrid w:val="0"/>
                <w:color w:val="auto"/>
                <w:spacing w:val="0"/>
                <w:kern w:val="0"/>
                <w:sz w:val="24"/>
                <w:szCs w:val="24"/>
                <w:lang w:val="en-US" w:eastAsia="zh-CN"/>
              </w:rPr>
              <w:t>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签订委托生产合同，约定委托生产的食品品种、委托期限等内容。</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
                <w:bCs/>
                <w:i/>
                <w:iCs/>
                <w:snapToGrid w:val="0"/>
                <w:color w:val="auto"/>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5.</w:t>
            </w:r>
            <w:r>
              <w:rPr>
                <w:rFonts w:hint="eastAsia" w:ascii="仿宋_GB2312" w:hAnsi="仿宋_GB2312" w:eastAsia="仿宋_GB2312" w:cs="仿宋_GB2312"/>
                <w:snapToGrid w:val="0"/>
                <w:color w:val="auto"/>
                <w:spacing w:val="0"/>
                <w:kern w:val="0"/>
                <w:sz w:val="24"/>
                <w:szCs w:val="24"/>
                <w:lang w:val="en-US" w:eastAsia="zh-CN"/>
              </w:rPr>
              <w:t>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有委托方对受托方生产行为进行监督的记录。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
                <w:bCs/>
                <w:i/>
                <w:iCs/>
                <w:snapToGrid w:val="0"/>
                <w:color w:val="auto"/>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5.4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委托生产的食品标签清晰标注委托方、受托方的名称、地址、联系方式等信息。</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
                <w:bCs/>
                <w:i/>
                <w:iCs/>
                <w:snapToGrid w:val="0"/>
                <w:color w:val="auto"/>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T.</w:t>
            </w:r>
            <w:r>
              <w:rPr>
                <w:rFonts w:hint="eastAsia" w:ascii="仿宋_GB2312" w:hAnsi="仿宋_GB2312" w:eastAsia="仿宋_GB2312" w:cs="仿宋_GB2312"/>
                <w:snapToGrid w:val="0"/>
                <w:color w:val="auto"/>
                <w:spacing w:val="0"/>
                <w:kern w:val="0"/>
                <w:sz w:val="24"/>
                <w:szCs w:val="24"/>
                <w:lang w:val="en-US" w:eastAsia="zh-CN"/>
              </w:rPr>
              <w:t>7</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委托方持有保健食品注册证书</w:t>
            </w: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或注册转备案凭证，</w:t>
            </w:r>
            <w:r>
              <w:rPr>
                <w:rFonts w:hint="eastAsia" w:ascii="仿宋_GB2312" w:hAnsi="仿宋_GB2312" w:eastAsia="仿宋_GB2312" w:cs="仿宋_GB2312"/>
                <w:snapToGrid w:val="0"/>
                <w:color w:val="auto"/>
                <w:spacing w:val="0"/>
                <w:kern w:val="0"/>
                <w:sz w:val="24"/>
                <w:szCs w:val="24"/>
                <w:lang w:eastAsia="zh-CN"/>
              </w:rPr>
              <w:t>受托方具备相应的生产能力且能完成生产委托品种的全部生产过程。</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6"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6</w:t>
            </w:r>
          </w:p>
        </w:tc>
        <w:tc>
          <w:tcPr>
            <w:tcW w:w="1500" w:type="dxa"/>
            <w:vMerge w:val="restart"/>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eastAsia="zh-CN"/>
              </w:rPr>
              <w:t>产品</w:t>
            </w:r>
            <w:r>
              <w:rPr>
                <w:rFonts w:hint="eastAsia" w:ascii="仿宋_GB2312" w:hAnsi="仿宋_GB2312" w:eastAsia="仿宋_GB2312" w:cs="仿宋_GB2312"/>
                <w:snapToGrid w:val="0"/>
                <w:color w:val="auto"/>
                <w:spacing w:val="0"/>
                <w:kern w:val="0"/>
                <w:sz w:val="24"/>
                <w:szCs w:val="24"/>
              </w:rPr>
              <w:t>检验</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6.1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企业自检的，具备与所检项目适应的检验室和检验能力，有检验相关设备及化学试剂，检验仪器按期检定或校准。</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6.2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不能自检的，委托有资质的检验机构进行检验。</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5"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*6.3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有与生产产品相应的食品安全标准文本，按照食品安全标准规定进行检验。</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*6.4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建立和保存原始检验数据和检验报告记录，检验记录真实、完整，保存期限符合规定要求。</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6.5</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按规定时限保存检验留存样品并记录留样情况。</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*T.</w:t>
            </w:r>
            <w:r>
              <w:rPr>
                <w:rFonts w:hint="eastAsia" w:ascii="仿宋_GB2312" w:hAnsi="仿宋_GB2312" w:eastAsia="仿宋_GB2312" w:cs="仿宋_GB2312"/>
                <w:snapToGrid w:val="0"/>
                <w:color w:val="auto"/>
                <w:spacing w:val="0"/>
                <w:kern w:val="0"/>
                <w:sz w:val="24"/>
                <w:szCs w:val="24"/>
                <w:lang w:val="en-US" w:eastAsia="zh-CN"/>
              </w:rPr>
              <w:t>8</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对出厂的婴幼儿配方食品、特殊医学用途婴儿配方食品等按照要求批批全项目自行检验，每年对全项目检验能力进行验证。</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7</w:t>
            </w:r>
          </w:p>
        </w:tc>
        <w:tc>
          <w:tcPr>
            <w:tcW w:w="1500" w:type="dxa"/>
            <w:vMerge w:val="restart"/>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rPr>
              <w:t>贮存及交付控制</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7.1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食品原料、食品相关产品的贮存有专人管理，贮存条件符合要求。</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7.2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食品添加剂专库或专区贮存，明显标示，专人管理。</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7.3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不合格品在划定区域存放，具有明显标示。</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6"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7</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rPr>
              <w:t>贮存及交付控制</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7.4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根据产品特点建立和执行相适应的贮存、运输及交付控制制度和记录。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7.5</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仓库温湿度符合要求。</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3"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*7.</w:t>
            </w:r>
            <w:r>
              <w:rPr>
                <w:rFonts w:hint="eastAsia" w:ascii="仿宋_GB2312" w:hAnsi="仿宋_GB2312" w:eastAsia="仿宋_GB2312" w:cs="仿宋_GB2312"/>
                <w:snapToGrid w:val="0"/>
                <w:color w:val="auto"/>
                <w:spacing w:val="0"/>
                <w:kern w:val="0"/>
                <w:sz w:val="24"/>
                <w:szCs w:val="24"/>
                <w:lang w:val="en-US" w:eastAsia="zh-CN"/>
              </w:rPr>
              <w:t>6</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有出厂记录，如实记录食品的名称、规格、数量、生产日期或者生产批号、检验合格证明、销售日期以及购货者名称、地址、联系方式等内容。</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8</w:t>
            </w:r>
          </w:p>
        </w:tc>
        <w:tc>
          <w:tcPr>
            <w:tcW w:w="1500" w:type="dxa"/>
            <w:vMerge w:val="restart"/>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rPr>
              <w:t>不合格</w:t>
            </w:r>
            <w:r>
              <w:rPr>
                <w:rFonts w:hint="eastAsia" w:ascii="仿宋_GB2312" w:hAnsi="仿宋_GB2312" w:eastAsia="仿宋_GB2312" w:cs="仿宋_GB2312"/>
                <w:snapToGrid w:val="0"/>
                <w:color w:val="auto"/>
                <w:spacing w:val="0"/>
                <w:kern w:val="0"/>
                <w:sz w:val="24"/>
                <w:szCs w:val="24"/>
                <w:lang w:eastAsia="zh-CN"/>
              </w:rPr>
              <w:t>食</w:t>
            </w:r>
            <w:r>
              <w:rPr>
                <w:rFonts w:hint="eastAsia" w:ascii="仿宋_GB2312" w:hAnsi="仿宋_GB2312" w:eastAsia="仿宋_GB2312" w:cs="仿宋_GB2312"/>
                <w:snapToGrid w:val="0"/>
                <w:color w:val="auto"/>
                <w:spacing w:val="0"/>
                <w:kern w:val="0"/>
                <w:sz w:val="24"/>
                <w:szCs w:val="24"/>
              </w:rPr>
              <w:t>品管理和食品召回</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8.1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建立和保存不合格品的处置记录，不合格品的批次、数量应与记录一致。</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*8.2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实施不安全食品的召回，召回和处理情况向所在地市场监管部门报告。</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8.3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有召回计划、公告等相应记录；召回食品有处置记录。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6"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*8.4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有召回食品无害化处理、销毁等措施，未发现召回食品再次流入市场（对因标签存在瑕疵实施召回的除外）。</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9</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val="en-US" w:eastAsia="zh-CN"/>
              </w:rPr>
              <w:t>标签和说明书</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auto"/>
                <w:spacing w:val="0"/>
                <w:kern w:val="0"/>
                <w:sz w:val="24"/>
                <w:szCs w:val="24"/>
                <w:lang w:eastAsia="zh-CN"/>
              </w:rPr>
              <w:t>*</w:t>
            </w: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9.1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预包装食品的包装有标签，标签标注的事项完整、真实。</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000000" w:themeColor="text1"/>
                <w:spacing w:val="0"/>
                <w:kern w:val="0"/>
                <w:sz w:val="24"/>
                <w:szCs w:val="24"/>
                <w:lang w:val="en-US" w:eastAsia="zh-CN" w:bidi="zh-TW"/>
                <w14:textFill>
                  <w14:solidFill>
                    <w14:schemeClr w14:val="tx1"/>
                  </w14:solidFill>
                </w14:textFill>
              </w:rPr>
            </w:pPr>
            <w:r>
              <w:rPr>
                <w:rFonts w:hint="eastAsia" w:ascii="仿宋_GB2312" w:hAnsi="仿宋_GB2312" w:eastAsia="仿宋_GB2312" w:cs="仿宋_GB2312"/>
                <w:snapToGrid w:val="0"/>
                <w:color w:val="auto"/>
                <w:spacing w:val="0"/>
                <w:kern w:val="0"/>
                <w:sz w:val="24"/>
                <w:szCs w:val="24"/>
                <w:lang w:eastAsia="zh-CN"/>
              </w:rPr>
              <w:t>*</w:t>
            </w:r>
            <w:r>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t>9.2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bidi="zh-TW"/>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未发现标注虚假生产日期或批号的情况。</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zh-TW" w:eastAsia="zh-CN" w:bidi="zh-TW"/>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auto"/>
                <w:spacing w:val="0"/>
                <w:kern w:val="0"/>
                <w:sz w:val="24"/>
                <w:szCs w:val="24"/>
                <w:lang w:eastAsia="zh-CN"/>
              </w:rPr>
              <w:t>*</w:t>
            </w:r>
            <w:r>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t>9.3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未发现转基因食品、辐照食品未按规定标示。</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auto"/>
                <w:spacing w:val="0"/>
                <w:kern w:val="0"/>
                <w:sz w:val="24"/>
                <w:szCs w:val="24"/>
                <w:lang w:eastAsia="zh-CN"/>
              </w:rPr>
              <w:t>*</w:t>
            </w:r>
            <w:r>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t>9.4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食品添加剂标签载明“食品添加剂”字样，并标明贮存条件、生产者名称和地址、食品添加剂的使用范围、用量和使用方法。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u w:val="single"/>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auto"/>
                <w:spacing w:val="0"/>
                <w:kern w:val="0"/>
                <w:sz w:val="24"/>
                <w:szCs w:val="24"/>
                <w:lang w:eastAsia="zh-CN"/>
              </w:rPr>
              <w:t>*</w:t>
            </w: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9.</w:t>
            </w:r>
            <w:r>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t>5</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未发现食品、食品添加剂的标签、说明书涉及疾病预防、治疗功能，未发现保健食品之外的食品标签、说明书涉及保健功能。</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zh-TW" w:eastAsia="zh-CN" w:bidi="zh-TW"/>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u w:val="single"/>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*T.</w:t>
            </w:r>
            <w:r>
              <w:rPr>
                <w:rFonts w:hint="eastAsia" w:ascii="仿宋_GB2312" w:hAnsi="仿宋_GB2312" w:eastAsia="仿宋_GB2312" w:cs="仿宋_GB2312"/>
                <w:snapToGrid w:val="0"/>
                <w:color w:val="auto"/>
                <w:spacing w:val="0"/>
                <w:kern w:val="0"/>
                <w:sz w:val="24"/>
                <w:szCs w:val="24"/>
                <w:lang w:val="en-US" w:eastAsia="zh-CN"/>
              </w:rPr>
              <w:t>9</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特殊食品标签、说明书内容与注册或备案的内容要求一致，符合相关法律法规要求。</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10</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val="en-US" w:eastAsia="zh-CN"/>
              </w:rPr>
              <w:t>食品安全自查</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10.1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建立食品安全自查制度，并定期对食品安全状况进行检查评价。</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1"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u w:val="single"/>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*10.2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对自查发现食品安全问题，立即采取整改、停止生产等措施，并按规定向所在地市场监督管理部门报告。</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08"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u w:val="single"/>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eastAsia="zh-CN"/>
              </w:rPr>
              <w:t>*T.1</w:t>
            </w:r>
            <w:r>
              <w:rPr>
                <w:rFonts w:hint="eastAsia" w:ascii="仿宋_GB2312" w:hAnsi="仿宋_GB2312" w:eastAsia="仿宋_GB2312" w:cs="仿宋_GB2312"/>
                <w:snapToGrid w:val="0"/>
                <w:color w:val="auto"/>
                <w:spacing w:val="0"/>
                <w:kern w:val="0"/>
                <w:sz w:val="24"/>
                <w:szCs w:val="24"/>
                <w:lang w:val="en-US" w:eastAsia="zh-CN"/>
              </w:rPr>
              <w:t>0</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定期对生产质量管理体系的运行情况进行自查，保证其有效运行，并向所在地县级人民政府市场监督管理部门提交自查报告，自查发现问题整改率达100%。</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7"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11</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eastAsia="zh-CN"/>
              </w:rPr>
              <w:t>从业</w:t>
            </w:r>
            <w:r>
              <w:rPr>
                <w:rFonts w:hint="eastAsia" w:ascii="仿宋_GB2312" w:hAnsi="仿宋_GB2312" w:eastAsia="仿宋_GB2312" w:cs="仿宋_GB2312"/>
                <w:snapToGrid w:val="0"/>
                <w:color w:val="auto"/>
                <w:spacing w:val="0"/>
                <w:kern w:val="0"/>
                <w:sz w:val="24"/>
                <w:szCs w:val="24"/>
              </w:rPr>
              <w:t>人员管理</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*11.1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建立企业主要负责人全面负责食品安全工作制度，配备食品安全管理人员、食品安全专业技术人员。</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1"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11.2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有食品安全管理人员、食品安全专业技术人员培训和考核记录，未发现考核不合格人员上岗。</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*11.3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未发现聘用禁止从事</w:t>
            </w:r>
            <w:r>
              <w:rPr>
                <w:rFonts w:hint="eastAsia" w:ascii="仿宋_GB2312" w:hAnsi="仿宋_GB2312" w:eastAsia="仿宋_GB2312" w:cs="仿宋_GB2312"/>
                <w:snapToGrid w:val="0"/>
                <w:spacing w:val="0"/>
                <w:kern w:val="0"/>
                <w:sz w:val="24"/>
                <w:szCs w:val="24"/>
                <w:lang w:eastAsia="zh-CN"/>
              </w:rPr>
              <w:t>食品</w:t>
            </w:r>
            <w:r>
              <w:rPr>
                <w:rFonts w:hint="eastAsia" w:ascii="仿宋_GB2312" w:hAnsi="仿宋_GB2312" w:eastAsia="仿宋_GB2312" w:cs="仿宋_GB2312"/>
                <w:snapToGrid w:val="0"/>
                <w:color w:val="auto"/>
                <w:spacing w:val="0"/>
                <w:kern w:val="0"/>
                <w:sz w:val="24"/>
                <w:szCs w:val="24"/>
                <w:lang w:eastAsia="zh-CN"/>
              </w:rPr>
              <w:t>安全管理的人员。</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11.4</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企业负责人在企业内部制度制定、过程控制、安全培训、安全检查以及食品安全事件或事故调查等环节履行了岗位职责并有记录。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FF0000"/>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FF0000"/>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*11.5</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建立并执行从业人员健康管理制度，</w:t>
            </w:r>
            <w:r>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t>从事接触直接入口食品工作的</w:t>
            </w: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人员具备有效健康证明，符合相关规定。</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FF0000"/>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11.6</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有从业人员食品安全知识培训制度，并有相关培训记录。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12</w:t>
            </w:r>
          </w:p>
        </w:tc>
        <w:tc>
          <w:tcPr>
            <w:tcW w:w="1500" w:type="dxa"/>
            <w:vMerge w:val="restart"/>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val="en-US" w:eastAsia="zh-CN"/>
              </w:rPr>
              <w:t>信息记录和追溯</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12.1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zh-TW" w:eastAsia="zh-CN" w:bidi="zh-TW"/>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建立并实施食品安全追溯制度，并有相应记录。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仿宋_GB2312" w:hAnsi="仿宋_GB2312" w:eastAsia="仿宋_GB2312" w:cs="仿宋_GB2312"/>
                <w:snapToGrid w:val="0"/>
                <w:color w:val="auto"/>
                <w:spacing w:val="0"/>
                <w:kern w:val="0"/>
                <w:sz w:val="24"/>
                <w:szCs w:val="24"/>
                <w:u w:val="single"/>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12.2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zh-TW" w:eastAsia="zh-CN" w:bidi="zh-TW"/>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未发现食品安全追溯信息记录不真实、不准确等情况。</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7"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仿宋_GB2312" w:hAnsi="仿宋_GB2312" w:eastAsia="仿宋_GB2312" w:cs="仿宋_GB2312"/>
                <w:snapToGrid w:val="0"/>
                <w:color w:val="auto"/>
                <w:spacing w:val="0"/>
                <w:kern w:val="0"/>
                <w:sz w:val="24"/>
                <w:szCs w:val="24"/>
                <w:u w:val="single"/>
                <w:lang w:val="en-US" w:eastAsia="zh-CN"/>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12.3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建立信息化食品安全追溯体系的，电子记录信息与纸质记录信息保持一致。</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16"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13</w:t>
            </w:r>
          </w:p>
        </w:tc>
        <w:tc>
          <w:tcPr>
            <w:tcW w:w="1500" w:type="dxa"/>
            <w:vMerge w:val="restart"/>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rPr>
              <w:t>食品安全事故处置</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13.1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有定期排查食品安全风险隐患的记录。</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8"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13.2</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有食品安全处置方案，并定期检查食品安全防范措施落实情况，及时消除食品安全隐患。</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9" w:hRule="atLeast"/>
          <w:jc w:val="center"/>
        </w:trPr>
        <w:tc>
          <w:tcPr>
            <w:tcW w:w="716"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1500" w:type="dxa"/>
            <w:vMerge w:val="continue"/>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eastAsia="zh-CN"/>
              </w:rPr>
              <w:t>*13.3</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pPr>
            <w:r>
              <w:rPr>
                <w:rFonts w:hint="eastAsia" w:ascii="仿宋_GB2312" w:hAnsi="仿宋_GB2312" w:eastAsia="仿宋_GB2312" w:cs="仿宋_GB2312"/>
                <w:snapToGrid w:val="0"/>
                <w:color w:val="000000" w:themeColor="text1"/>
                <w:spacing w:val="0"/>
                <w:kern w:val="0"/>
                <w:sz w:val="24"/>
                <w:szCs w:val="24"/>
                <w:lang w:eastAsia="zh-CN"/>
                <w14:textFill>
                  <w14:solidFill>
                    <w14:schemeClr w14:val="tx1"/>
                  </w14:solidFill>
                </w14:textFill>
              </w:rPr>
              <w:t>发生食品安全事故的，对导致或者可能导致食品安全事故的食品及原料、工具、设备、设施等，立即采取封存等控制措施，并向事故发生地市场监督管理部门报告。</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3</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5" w:hRule="atLeast"/>
          <w:jc w:val="center"/>
        </w:trPr>
        <w:tc>
          <w:tcPr>
            <w:tcW w:w="716" w:type="dxa"/>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14</w:t>
            </w:r>
          </w:p>
        </w:tc>
        <w:tc>
          <w:tcPr>
            <w:tcW w:w="1500" w:type="dxa"/>
            <w:vAlign w:val="center"/>
          </w:tcPr>
          <w:p>
            <w:pPr>
              <w:pStyle w:val="15"/>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auto"/>
                <w:spacing w:val="0"/>
                <w:kern w:val="0"/>
                <w:sz w:val="24"/>
                <w:szCs w:val="24"/>
                <w:lang w:val="en-US" w:eastAsia="zh-CN"/>
              </w:rPr>
              <w:t>前次监督检查发现问题整改情况</w:t>
            </w:r>
          </w:p>
        </w:tc>
        <w:tc>
          <w:tcPr>
            <w:tcW w:w="974"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center"/>
              <w:textAlignment w:val="auto"/>
              <w:rPr>
                <w:rFonts w:hint="eastAsia" w:ascii="仿宋_GB2312" w:hAnsi="仿宋_GB2312" w:eastAsia="仿宋_GB2312" w:cs="仿宋_GB2312"/>
                <w:snapToGrid w:val="0"/>
                <w:color w:val="auto"/>
                <w:spacing w:val="0"/>
                <w:kern w:val="0"/>
                <w:sz w:val="24"/>
                <w:szCs w:val="24"/>
                <w:lang w:val="en-US" w:eastAsia="zh-CN" w:bidi="en-US"/>
              </w:rPr>
            </w:pPr>
            <w:r>
              <w:rPr>
                <w:rFonts w:hint="eastAsia" w:ascii="仿宋_GB2312" w:hAnsi="仿宋_GB2312" w:eastAsia="仿宋_GB2312" w:cs="仿宋_GB2312"/>
                <w:snapToGrid w:val="0"/>
                <w:color w:val="auto"/>
                <w:spacing w:val="0"/>
                <w:kern w:val="0"/>
                <w:sz w:val="24"/>
                <w:szCs w:val="24"/>
                <w:lang w:val="en-US" w:eastAsia="zh-CN" w:bidi="en-US"/>
              </w:rPr>
              <w:t>14.1</w:t>
            </w:r>
          </w:p>
        </w:tc>
        <w:tc>
          <w:tcPr>
            <w:tcW w:w="7052" w:type="dxa"/>
            <w:vAlign w:val="center"/>
          </w:tcPr>
          <w:p>
            <w:pPr>
              <w:pStyle w:val="14"/>
              <w:keepNext w:val="0"/>
              <w:keepLines w:val="0"/>
              <w:pageBreakBefore w:val="0"/>
              <w:widowControl w:val="0"/>
              <w:kinsoku/>
              <w:wordWrap/>
              <w:overflowPunct w:val="0"/>
              <w:topLinePunct w:val="0"/>
              <w:autoSpaceDE/>
              <w:autoSpaceDN/>
              <w:bidi w:val="0"/>
              <w:adjustRightInd w:val="0"/>
              <w:snapToGrid w:val="0"/>
              <w:spacing w:line="240" w:lineRule="auto"/>
              <w:ind w:firstLine="0"/>
              <w:jc w:val="left"/>
              <w:textAlignment w:val="auto"/>
              <w:rPr>
                <w:rFonts w:hint="eastAsia" w:ascii="仿宋_GB2312" w:hAnsi="仿宋_GB2312" w:eastAsia="仿宋_GB2312" w:cs="仿宋_GB2312"/>
                <w:snapToGrid w:val="0"/>
                <w:color w:val="auto"/>
                <w:spacing w:val="0"/>
                <w:kern w:val="0"/>
                <w:sz w:val="24"/>
                <w:szCs w:val="24"/>
                <w:lang w:eastAsia="zh-CN"/>
              </w:rPr>
            </w:pPr>
            <w:r>
              <w:rPr>
                <w:rFonts w:hint="eastAsia" w:ascii="仿宋_GB2312" w:hAnsi="仿宋_GB2312" w:eastAsia="仿宋_GB2312" w:cs="仿宋_GB2312"/>
                <w:snapToGrid w:val="0"/>
                <w:color w:val="auto"/>
                <w:spacing w:val="0"/>
                <w:kern w:val="0"/>
                <w:sz w:val="24"/>
                <w:szCs w:val="24"/>
                <w:lang w:eastAsia="zh-CN"/>
              </w:rPr>
              <w:t>对前次监督检查发现的问题完成整改。</w:t>
            </w:r>
          </w:p>
        </w:tc>
        <w:tc>
          <w:tcPr>
            <w:tcW w:w="1422"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lang w:val="en-US" w:eastAsia="zh-CN"/>
              </w:rPr>
            </w:pPr>
            <w:r>
              <w:rPr>
                <w:rFonts w:hint="eastAsia" w:ascii="仿宋_GB2312" w:hAnsi="仿宋_GB2312" w:eastAsia="仿宋_GB2312" w:cs="仿宋_GB2312"/>
                <w:snapToGrid w:val="0"/>
                <w:color w:val="auto"/>
                <w:spacing w:val="0"/>
                <w:kern w:val="0"/>
                <w:sz w:val="24"/>
                <w:szCs w:val="24"/>
                <w:lang w:val="en-US" w:eastAsia="zh-CN"/>
              </w:rPr>
              <w:t>1</w:t>
            </w: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664" w:type="dxa"/>
            <w:gridSpan w:val="5"/>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
                <w:bCs/>
                <w:snapToGrid w:val="0"/>
                <w:color w:val="auto"/>
                <w:spacing w:val="0"/>
                <w:kern w:val="0"/>
                <w:sz w:val="24"/>
                <w:szCs w:val="24"/>
              </w:rPr>
            </w:pPr>
            <w:r>
              <w:rPr>
                <w:rFonts w:hint="eastAsia" w:ascii="仿宋_GB2312" w:hAnsi="仿宋_GB2312" w:eastAsia="仿宋_GB2312" w:cs="仿宋_GB2312"/>
                <w:b/>
                <w:bCs/>
                <w:snapToGrid w:val="0"/>
                <w:color w:val="auto"/>
                <w:spacing w:val="0"/>
                <w:kern w:val="0"/>
                <w:sz w:val="24"/>
                <w:szCs w:val="24"/>
                <w:lang w:eastAsia="zh-CN"/>
              </w:rPr>
              <w:t>总计</w:t>
            </w:r>
          </w:p>
        </w:tc>
        <w:tc>
          <w:tcPr>
            <w:tcW w:w="804"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789"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p>
        </w:tc>
        <w:tc>
          <w:tcPr>
            <w:tcW w:w="916" w:type="dxa"/>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rPr>
            </w:pPr>
            <w:r>
              <w:rPr>
                <w:rFonts w:hint="eastAsia" w:ascii="仿宋_GB2312" w:hAnsi="仿宋_GB2312" w:eastAsia="仿宋_GB2312" w:cs="仿宋_GB2312"/>
                <w:snapToGrid w:val="0"/>
                <w:color w:val="000000" w:themeColor="text1"/>
                <w:spacing w:val="0"/>
                <w:kern w:val="0"/>
                <w:sz w:val="24"/>
                <w:szCs w:val="24"/>
                <w:lang w:val="en-US" w:eastAsia="zh-CN"/>
                <w14:textFill>
                  <w14:solidFill>
                    <w14:schemeClr w14:val="tx1"/>
                  </w14:solidFill>
                </w14:textFill>
              </w:rPr>
              <w:t>封顶40分</w:t>
            </w:r>
          </w:p>
        </w:tc>
      </w:tr>
    </w:tbl>
    <w:p>
      <w:pPr>
        <w:pStyle w:val="14"/>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0" w:firstLineChars="0"/>
        <w:jc w:val="both"/>
        <w:textAlignment w:val="auto"/>
        <w:rPr>
          <w:rFonts w:hint="eastAsia" w:ascii="楷体_GB2312" w:hAnsi="楷体_GB2312" w:eastAsia="楷体_GB2312" w:cs="楷体_GB2312"/>
          <w:color w:val="000000" w:themeColor="text1"/>
          <w:spacing w:val="0"/>
          <w:sz w:val="28"/>
          <w:szCs w:val="28"/>
          <w:lang w:val="en-US" w:eastAsia="zh-CN"/>
          <w14:textFill>
            <w14:solidFill>
              <w14:schemeClr w14:val="tx1"/>
            </w14:solidFill>
          </w14:textFill>
        </w:rPr>
      </w:pPr>
      <w:r>
        <w:rPr>
          <w:rFonts w:hint="eastAsia" w:ascii="楷体_GB2312" w:hAnsi="楷体_GB2312" w:eastAsia="楷体_GB2312" w:cs="楷体_GB2312"/>
          <w:color w:val="000000" w:themeColor="text1"/>
          <w:spacing w:val="0"/>
          <w:sz w:val="28"/>
          <w:szCs w:val="28"/>
          <w:lang w:val="en-US" w:eastAsia="zh-CN"/>
          <w14:textFill>
            <w14:solidFill>
              <w14:schemeClr w14:val="tx1"/>
            </w14:solidFill>
          </w14:textFill>
        </w:rPr>
        <w:t>备注：</w:t>
      </w:r>
    </w:p>
    <w:p>
      <w:pPr>
        <w:pStyle w:val="14"/>
        <w:keepNext w:val="0"/>
        <w:keepLines w:val="0"/>
        <w:pageBreakBefore w:val="0"/>
        <w:widowControl w:val="0"/>
        <w:kinsoku/>
        <w:wordWrap/>
        <w:overflowPunct w:val="0"/>
        <w:topLinePunct w:val="0"/>
        <w:autoSpaceDE/>
        <w:autoSpaceDN/>
        <w:bidi w:val="0"/>
        <w:adjustRightInd w:val="0"/>
        <w:snapToGrid w:val="0"/>
        <w:spacing w:line="400" w:lineRule="exact"/>
        <w:ind w:firstLine="560" w:firstLineChars="200"/>
        <w:jc w:val="both"/>
        <w:textAlignment w:val="auto"/>
        <w:rPr>
          <w:rFonts w:hint="eastAsia" w:ascii="楷体_GB2312" w:hAnsi="楷体_GB2312" w:eastAsia="楷体_GB2312" w:cs="楷体_GB2312"/>
          <w:color w:val="000000" w:themeColor="text1"/>
          <w:spacing w:val="0"/>
          <w:sz w:val="28"/>
          <w:szCs w:val="28"/>
          <w:lang w:val="en-US" w:eastAsia="zh-CN"/>
          <w14:textFill>
            <w14:solidFill>
              <w14:schemeClr w14:val="tx1"/>
            </w14:solidFill>
          </w14:textFill>
        </w:rPr>
      </w:pPr>
      <w:r>
        <w:rPr>
          <w:rFonts w:hint="eastAsia" w:ascii="楷体_GB2312" w:hAnsi="楷体_GB2312" w:eastAsia="楷体_GB2312" w:cs="楷体_GB2312"/>
          <w:color w:val="000000" w:themeColor="text1"/>
          <w:spacing w:val="0"/>
          <w:sz w:val="28"/>
          <w:szCs w:val="28"/>
          <w:lang w:val="en-US" w:eastAsia="zh-CN"/>
          <w14:textFill>
            <w14:solidFill>
              <w14:schemeClr w14:val="tx1"/>
            </w14:solidFill>
          </w14:textFill>
        </w:rPr>
        <w:t>1.重点项（*）34项，一般项45项，共79项，其中：特殊食品专用检查项目（T）10项。</w:t>
      </w:r>
    </w:p>
    <w:p>
      <w:pPr>
        <w:pStyle w:val="14"/>
        <w:keepNext w:val="0"/>
        <w:keepLines w:val="0"/>
        <w:pageBreakBefore w:val="0"/>
        <w:widowControl w:val="0"/>
        <w:kinsoku/>
        <w:wordWrap/>
        <w:overflowPunct w:val="0"/>
        <w:topLinePunct w:val="0"/>
        <w:autoSpaceDE/>
        <w:autoSpaceDN/>
        <w:bidi w:val="0"/>
        <w:adjustRightInd w:val="0"/>
        <w:snapToGrid w:val="0"/>
        <w:spacing w:line="400" w:lineRule="exact"/>
        <w:ind w:firstLine="560" w:firstLineChars="200"/>
        <w:jc w:val="both"/>
        <w:textAlignment w:val="auto"/>
        <w:rPr>
          <w:rFonts w:hint="eastAsia" w:ascii="楷体_GB2312" w:hAnsi="楷体_GB2312" w:eastAsia="楷体_GB2312" w:cs="楷体_GB2312"/>
          <w:color w:val="000000" w:themeColor="text1"/>
          <w:spacing w:val="0"/>
          <w:sz w:val="28"/>
          <w:szCs w:val="28"/>
          <w:lang w:val="en-US" w:eastAsia="zh-CN"/>
          <w14:textFill>
            <w14:solidFill>
              <w14:schemeClr w14:val="tx1"/>
            </w14:solidFill>
          </w14:textFill>
        </w:rPr>
        <w:sectPr>
          <w:pgSz w:w="16838" w:h="11906" w:orient="landscape"/>
          <w:pgMar w:top="1134" w:right="1417" w:bottom="1134" w:left="1417" w:header="851" w:footer="340" w:gutter="0"/>
          <w:pgBorders>
            <w:top w:val="none" w:sz="0" w:space="0"/>
            <w:left w:val="none" w:sz="0" w:space="0"/>
            <w:bottom w:val="none" w:sz="0" w:space="0"/>
            <w:right w:val="none" w:sz="0" w:space="0"/>
          </w:pgBorders>
          <w:pgNumType w:fmt="decimal"/>
          <w:cols w:space="0" w:num="1"/>
          <w:rtlGutter w:val="0"/>
          <w:docGrid w:type="lines" w:linePitch="323" w:charSpace="0"/>
        </w:sectPr>
      </w:pPr>
      <w:r>
        <w:rPr>
          <w:rFonts w:hint="eastAsia" w:ascii="楷体_GB2312" w:hAnsi="楷体_GB2312" w:eastAsia="楷体_GB2312" w:cs="楷体_GB2312"/>
          <w:color w:val="000000" w:themeColor="text1"/>
          <w:spacing w:val="0"/>
          <w:sz w:val="28"/>
          <w:szCs w:val="28"/>
          <w:lang w:val="en-US" w:eastAsia="zh-CN"/>
          <w14:textFill>
            <w14:solidFill>
              <w14:schemeClr w14:val="tx1"/>
            </w14:solidFill>
          </w14:textFill>
        </w:rPr>
        <w:t>2.一般项不符合的，每项计风险值1分；重点项不符合的，每项计风险值3分，封顶40分。</w:t>
      </w:r>
    </w:p>
    <w:p>
      <w:pPr>
        <w:pStyle w:val="16"/>
        <w:keepNext w:val="0"/>
        <w:keepLines w:val="0"/>
        <w:pageBreakBefore w:val="0"/>
        <w:widowControl w:val="0"/>
        <w:kinsoku/>
        <w:wordWrap/>
        <w:overflowPunct w:val="0"/>
        <w:topLinePunct w:val="0"/>
        <w:autoSpaceDE/>
        <w:autoSpaceDN/>
        <w:bidi w:val="0"/>
        <w:adjustRightInd w:val="0"/>
        <w:snapToGrid w:val="0"/>
        <w:spacing w:line="560" w:lineRule="exact"/>
        <w:jc w:val="left"/>
        <w:textAlignment w:val="baseline"/>
        <w:rPr>
          <w:rFonts w:hint="eastAsia" w:ascii="黑体" w:hAnsi="黑体" w:eastAsia="黑体" w:cs="黑体"/>
          <w:spacing w:val="17"/>
          <w:kern w:val="0"/>
          <w:sz w:val="32"/>
          <w:szCs w:val="32"/>
          <w:lang w:val="en-US" w:eastAsia="zh-CN"/>
        </w:rPr>
      </w:pPr>
      <w:r>
        <w:rPr>
          <w:rFonts w:hint="eastAsia" w:ascii="黑体" w:hAnsi="黑体" w:eastAsia="黑体" w:cs="黑体"/>
          <w:spacing w:val="17"/>
          <w:kern w:val="0"/>
          <w:sz w:val="32"/>
          <w:szCs w:val="32"/>
          <w:lang w:val="en-US" w:eastAsia="zh-CN"/>
        </w:rPr>
        <w:t>附件3-1</w:t>
      </w:r>
    </w:p>
    <w:p>
      <w:pPr>
        <w:pStyle w:val="16"/>
        <w:keepNext w:val="0"/>
        <w:keepLines w:val="0"/>
        <w:pageBreakBefore w:val="0"/>
        <w:widowControl w:val="0"/>
        <w:kinsoku/>
        <w:wordWrap/>
        <w:overflowPunct w:val="0"/>
        <w:topLinePunct w:val="0"/>
        <w:autoSpaceDE/>
        <w:autoSpaceDN/>
        <w:bidi w:val="0"/>
        <w:adjustRightInd w:val="0"/>
        <w:snapToGrid w:val="0"/>
        <w:spacing w:line="560" w:lineRule="exact"/>
        <w:jc w:val="left"/>
        <w:textAlignment w:val="baseline"/>
        <w:rPr>
          <w:rFonts w:hint="eastAsia" w:ascii="黑体" w:hAnsi="黑体" w:eastAsia="黑体" w:cs="黑体"/>
          <w:spacing w:val="17"/>
          <w:kern w:val="0"/>
          <w:sz w:val="32"/>
          <w:szCs w:val="32"/>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baseline"/>
        <w:outlineLvl w:val="9"/>
        <w:rPr>
          <w:rFonts w:hint="eastAsia" w:ascii="方正小标宋简体" w:hAnsi="方正小标宋简体" w:eastAsia="方正小标宋简体" w:cs="方正小标宋简体"/>
          <w:b w:val="0"/>
          <w:bCs w:val="0"/>
          <w:snapToGrid w:val="0"/>
          <w:color w:val="000000"/>
          <w:spacing w:val="9"/>
          <w:kern w:val="0"/>
          <w:sz w:val="44"/>
          <w:szCs w:val="44"/>
          <w:lang w:eastAsia="zh-CN"/>
        </w:rPr>
      </w:pPr>
      <w:r>
        <w:rPr>
          <w:rFonts w:hint="eastAsia" w:ascii="方正小标宋简体" w:hAnsi="方正小标宋简体" w:eastAsia="方正小标宋简体" w:cs="方正小标宋简体"/>
          <w:b w:val="0"/>
          <w:bCs w:val="0"/>
          <w:snapToGrid w:val="0"/>
          <w:color w:val="000000"/>
          <w:spacing w:val="9"/>
          <w:kern w:val="0"/>
          <w:sz w:val="44"/>
          <w:szCs w:val="44"/>
          <w:lang w:eastAsia="zh-CN"/>
        </w:rPr>
        <w:t>食品（</w:t>
      </w:r>
      <w:r>
        <w:rPr>
          <w:rFonts w:hint="eastAsia" w:ascii="方正小标宋简体" w:hAnsi="方正小标宋简体" w:eastAsia="方正小标宋简体" w:cs="方正小标宋简体"/>
          <w:b w:val="0"/>
          <w:bCs w:val="0"/>
          <w:snapToGrid w:val="0"/>
          <w:color w:val="000000"/>
          <w:spacing w:val="9"/>
          <w:kern w:val="0"/>
          <w:sz w:val="44"/>
          <w:szCs w:val="44"/>
          <w:lang w:val="en-US" w:eastAsia="zh-CN"/>
        </w:rPr>
        <w:t>食用农产品</w:t>
      </w:r>
      <w:r>
        <w:rPr>
          <w:rFonts w:hint="eastAsia" w:ascii="方正小标宋简体" w:hAnsi="方正小标宋简体" w:eastAsia="方正小标宋简体" w:cs="方正小标宋简体"/>
          <w:b w:val="0"/>
          <w:bCs w:val="0"/>
          <w:snapToGrid w:val="0"/>
          <w:color w:val="000000"/>
          <w:spacing w:val="9"/>
          <w:kern w:val="0"/>
          <w:sz w:val="44"/>
          <w:szCs w:val="44"/>
          <w:lang w:eastAsia="zh-CN"/>
        </w:rPr>
        <w:t>）销售静态风险因素</w:t>
      </w: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baseline"/>
        <w:outlineLvl w:val="9"/>
        <w:rPr>
          <w:rFonts w:hint="eastAsia" w:ascii="方正小标宋简体" w:hAnsi="方正小标宋简体" w:eastAsia="方正小标宋简体" w:cs="方正小标宋简体"/>
          <w:b w:val="0"/>
          <w:bCs w:val="0"/>
          <w:snapToGrid w:val="0"/>
          <w:color w:val="000000"/>
          <w:spacing w:val="9"/>
          <w:kern w:val="0"/>
          <w:sz w:val="44"/>
          <w:szCs w:val="44"/>
          <w:lang w:eastAsia="zh-CN"/>
        </w:rPr>
      </w:pPr>
      <w:r>
        <w:rPr>
          <w:rFonts w:hint="eastAsia" w:ascii="方正小标宋简体" w:hAnsi="方正小标宋简体" w:eastAsia="方正小标宋简体" w:cs="方正小标宋简体"/>
          <w:b w:val="0"/>
          <w:bCs w:val="0"/>
          <w:snapToGrid w:val="0"/>
          <w:color w:val="000000"/>
          <w:spacing w:val="9"/>
          <w:kern w:val="0"/>
          <w:sz w:val="44"/>
          <w:szCs w:val="44"/>
          <w:lang w:eastAsia="zh-CN"/>
        </w:rPr>
        <w:t>量化分值表</w:t>
      </w: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baseline"/>
        <w:outlineLvl w:val="9"/>
        <w:rPr>
          <w:rFonts w:hint="eastAsia" w:ascii="方正小标宋简体" w:hAnsi="方正小标宋简体" w:eastAsia="方正小标宋简体" w:cs="方正小标宋简体"/>
          <w:b w:val="0"/>
          <w:bCs w:val="0"/>
          <w:snapToGrid w:val="0"/>
          <w:color w:val="000000"/>
          <w:spacing w:val="9"/>
          <w:kern w:val="0"/>
          <w:sz w:val="36"/>
          <w:szCs w:val="36"/>
          <w:lang w:eastAsia="zh-CN"/>
        </w:rPr>
      </w:pPr>
    </w:p>
    <w:tbl>
      <w:tblPr>
        <w:tblStyle w:val="17"/>
        <w:tblW w:w="9071"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31"/>
        <w:gridCol w:w="1904"/>
        <w:gridCol w:w="1176"/>
        <w:gridCol w:w="1809"/>
        <w:gridCol w:w="1825"/>
        <w:gridCol w:w="7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71" w:hRule="atLeast"/>
          <w:jc w:val="center"/>
        </w:trPr>
        <w:tc>
          <w:tcPr>
            <w:tcW w:w="1631"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评分项</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（共40分）</w:t>
            </w:r>
          </w:p>
        </w:tc>
        <w:tc>
          <w:tcPr>
            <w:tcW w:w="6714" w:type="dxa"/>
            <w:gridSpan w:val="4"/>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参考分值</w:t>
            </w:r>
          </w:p>
        </w:tc>
        <w:tc>
          <w:tcPr>
            <w:tcW w:w="726"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评分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67" w:hRule="atLeast"/>
          <w:jc w:val="center"/>
        </w:trPr>
        <w:tc>
          <w:tcPr>
            <w:tcW w:w="1631" w:type="dxa"/>
            <w:vMerge w:val="restart"/>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食品经营场所面积（㎡）</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（10分）</w:t>
            </w:r>
          </w:p>
        </w:tc>
        <w:tc>
          <w:tcPr>
            <w:tcW w:w="1904"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200以下</w:t>
            </w:r>
          </w:p>
        </w:tc>
        <w:tc>
          <w:tcPr>
            <w:tcW w:w="2985" w:type="dxa"/>
            <w:gridSpan w:val="2"/>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201—1000</w:t>
            </w:r>
          </w:p>
        </w:tc>
        <w:tc>
          <w:tcPr>
            <w:tcW w:w="1825"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1001以上</w:t>
            </w:r>
          </w:p>
        </w:tc>
        <w:tc>
          <w:tcPr>
            <w:tcW w:w="726"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pacing w:val="0"/>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67" w:hRule="atLeast"/>
          <w:jc w:val="center"/>
        </w:trPr>
        <w:tc>
          <w:tcPr>
            <w:tcW w:w="1631" w:type="dxa"/>
            <w:vMerge w:val="continue"/>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p>
        </w:tc>
        <w:tc>
          <w:tcPr>
            <w:tcW w:w="1904"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1分</w:t>
            </w:r>
          </w:p>
        </w:tc>
        <w:tc>
          <w:tcPr>
            <w:tcW w:w="2985" w:type="dxa"/>
            <w:gridSpan w:val="2"/>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5分</w:t>
            </w:r>
          </w:p>
        </w:tc>
        <w:tc>
          <w:tcPr>
            <w:tcW w:w="1825"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10分</w:t>
            </w:r>
          </w:p>
        </w:tc>
        <w:tc>
          <w:tcPr>
            <w:tcW w:w="726"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pacing w:val="0"/>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487" w:hRule="atLeast"/>
          <w:jc w:val="center"/>
        </w:trPr>
        <w:tc>
          <w:tcPr>
            <w:tcW w:w="1631" w:type="dxa"/>
            <w:vMerge w:val="restart"/>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经营种类</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（20分）</w:t>
            </w:r>
          </w:p>
        </w:tc>
        <w:tc>
          <w:tcPr>
            <w:tcW w:w="1904"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预包装食品</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（不含冷藏冷冻）</w:t>
            </w:r>
          </w:p>
        </w:tc>
        <w:tc>
          <w:tcPr>
            <w:tcW w:w="1176"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特殊食品</w:t>
            </w:r>
          </w:p>
        </w:tc>
        <w:tc>
          <w:tcPr>
            <w:tcW w:w="1809"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食用农产品</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（不含冷藏冷冻）</w:t>
            </w:r>
          </w:p>
        </w:tc>
        <w:tc>
          <w:tcPr>
            <w:tcW w:w="1825"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冷藏冷冻预包装食品、冷藏冷冻</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食用农产品；散装食品</w:t>
            </w:r>
          </w:p>
        </w:tc>
        <w:tc>
          <w:tcPr>
            <w:tcW w:w="726"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pacing w:val="0"/>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41" w:hRule="atLeast"/>
          <w:jc w:val="center"/>
        </w:trPr>
        <w:tc>
          <w:tcPr>
            <w:tcW w:w="1631" w:type="dxa"/>
            <w:vMerge w:val="continue"/>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p>
        </w:tc>
        <w:tc>
          <w:tcPr>
            <w:tcW w:w="1904"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5分</w:t>
            </w:r>
          </w:p>
        </w:tc>
        <w:tc>
          <w:tcPr>
            <w:tcW w:w="1176"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10分</w:t>
            </w:r>
          </w:p>
        </w:tc>
        <w:tc>
          <w:tcPr>
            <w:tcW w:w="1809"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15分</w:t>
            </w:r>
          </w:p>
        </w:tc>
        <w:tc>
          <w:tcPr>
            <w:tcW w:w="1825"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20分</w:t>
            </w:r>
          </w:p>
        </w:tc>
        <w:tc>
          <w:tcPr>
            <w:tcW w:w="726"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pacing w:val="0"/>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33" w:hRule="atLeast"/>
          <w:jc w:val="center"/>
        </w:trPr>
        <w:tc>
          <w:tcPr>
            <w:tcW w:w="1631" w:type="dxa"/>
            <w:vMerge w:val="restart"/>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经营方式</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（10分）</w:t>
            </w:r>
          </w:p>
        </w:tc>
        <w:tc>
          <w:tcPr>
            <w:tcW w:w="1904"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零售</w:t>
            </w:r>
          </w:p>
        </w:tc>
        <w:tc>
          <w:tcPr>
            <w:tcW w:w="2985" w:type="dxa"/>
            <w:gridSpan w:val="2"/>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批发；批发兼零售；</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自动售货</w:t>
            </w:r>
          </w:p>
        </w:tc>
        <w:tc>
          <w:tcPr>
            <w:tcW w:w="1825"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网络销售</w:t>
            </w:r>
          </w:p>
        </w:tc>
        <w:tc>
          <w:tcPr>
            <w:tcW w:w="726"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pacing w:val="0"/>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67" w:hRule="atLeast"/>
          <w:jc w:val="center"/>
        </w:trPr>
        <w:tc>
          <w:tcPr>
            <w:tcW w:w="1631" w:type="dxa"/>
            <w:vMerge w:val="continue"/>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pacing w:val="0"/>
                <w:kern w:val="0"/>
                <w:sz w:val="24"/>
                <w:szCs w:val="24"/>
              </w:rPr>
            </w:pPr>
          </w:p>
        </w:tc>
        <w:tc>
          <w:tcPr>
            <w:tcW w:w="1904"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1分</w:t>
            </w:r>
          </w:p>
        </w:tc>
        <w:tc>
          <w:tcPr>
            <w:tcW w:w="2985" w:type="dxa"/>
            <w:gridSpan w:val="2"/>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5分</w:t>
            </w:r>
          </w:p>
        </w:tc>
        <w:tc>
          <w:tcPr>
            <w:tcW w:w="1825"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仿宋_GB2312" w:hAnsi="仿宋_GB2312" w:eastAsia="仿宋_GB2312" w:cs="仿宋_GB2312"/>
                <w:spacing w:val="0"/>
                <w:kern w:val="0"/>
                <w:sz w:val="24"/>
                <w:szCs w:val="24"/>
              </w:rPr>
            </w:pPr>
            <w:r>
              <w:rPr>
                <w:rFonts w:hint="eastAsia" w:ascii="仿宋_GB2312" w:hAnsi="仿宋_GB2312" w:eastAsia="仿宋_GB2312" w:cs="仿宋_GB2312"/>
                <w:spacing w:val="0"/>
                <w:kern w:val="0"/>
                <w:sz w:val="24"/>
                <w:szCs w:val="24"/>
              </w:rPr>
              <w:t>10分</w:t>
            </w:r>
          </w:p>
        </w:tc>
        <w:tc>
          <w:tcPr>
            <w:tcW w:w="726"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pacing w:val="0"/>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67" w:hRule="atLeast"/>
          <w:jc w:val="center"/>
        </w:trPr>
        <w:tc>
          <w:tcPr>
            <w:tcW w:w="3535" w:type="dxa"/>
            <w:gridSpan w:val="2"/>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静态风险因素量化分值</w:t>
            </w:r>
          </w:p>
        </w:tc>
        <w:tc>
          <w:tcPr>
            <w:tcW w:w="5536"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napToGrid w:val="0"/>
                <w:color w:val="000000"/>
                <w:spacing w:val="0"/>
                <w:kern w:val="0"/>
                <w:sz w:val="24"/>
                <w:szCs w:val="24"/>
                <w:lang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67" w:hRule="atLeast"/>
          <w:jc w:val="center"/>
        </w:trPr>
        <w:tc>
          <w:tcPr>
            <w:tcW w:w="3535" w:type="dxa"/>
            <w:gridSpan w:val="2"/>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黑体" w:hAnsi="黑体" w:eastAsia="黑体" w:cs="黑体"/>
                <w:spacing w:val="0"/>
                <w:kern w:val="0"/>
                <w:sz w:val="24"/>
                <w:szCs w:val="24"/>
              </w:rPr>
            </w:pPr>
            <w:r>
              <w:rPr>
                <w:rFonts w:hint="eastAsia" w:ascii="黑体" w:hAnsi="黑体" w:eastAsia="黑体" w:cs="黑体"/>
                <w:spacing w:val="0"/>
                <w:kern w:val="0"/>
                <w:sz w:val="24"/>
                <w:szCs w:val="24"/>
              </w:rPr>
              <w:t>检查人员签名</w:t>
            </w:r>
          </w:p>
        </w:tc>
        <w:tc>
          <w:tcPr>
            <w:tcW w:w="5536"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napToGrid w:val="0"/>
                <w:color w:val="000000"/>
                <w:spacing w:val="0"/>
                <w:kern w:val="0"/>
                <w:sz w:val="24"/>
                <w:szCs w:val="24"/>
                <w:lang w:eastAsia="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2831" w:hRule="atLeast"/>
          <w:jc w:val="center"/>
        </w:trPr>
        <w:tc>
          <w:tcPr>
            <w:tcW w:w="1631" w:type="dxa"/>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baseline"/>
              <w:rPr>
                <w:rFonts w:hint="eastAsia" w:ascii="宋体" w:hAnsi="宋体" w:eastAsia="宋体" w:cs="宋体"/>
                <w:spacing w:val="0"/>
                <w:kern w:val="0"/>
                <w:sz w:val="24"/>
                <w:szCs w:val="24"/>
              </w:rPr>
            </w:pPr>
            <w:r>
              <w:rPr>
                <w:rFonts w:hint="eastAsia" w:ascii="黑体" w:hAnsi="黑体" w:eastAsia="黑体" w:cs="黑体"/>
                <w:spacing w:val="0"/>
                <w:kern w:val="0"/>
                <w:sz w:val="24"/>
                <w:szCs w:val="24"/>
              </w:rPr>
              <w:t>备注</w:t>
            </w:r>
          </w:p>
        </w:tc>
        <w:tc>
          <w:tcPr>
            <w:tcW w:w="7440" w:type="dxa"/>
            <w:gridSpan w:val="5"/>
            <w:tcBorders>
              <w:tl2br w:val="nil"/>
              <w:tr2bl w:val="nil"/>
            </w:tcBorders>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jc w:val="both"/>
              <w:textAlignment w:val="baseline"/>
              <w:rPr>
                <w:rFonts w:hint="eastAsia" w:ascii="仿宋_GB2312" w:hAnsi="仿宋_GB2312" w:eastAsia="仿宋_GB2312" w:cs="仿宋_GB2312"/>
                <w:color w:val="auto"/>
                <w:spacing w:val="0"/>
                <w:kern w:val="0"/>
                <w:sz w:val="24"/>
                <w:szCs w:val="24"/>
              </w:rPr>
            </w:pPr>
            <w:r>
              <w:rPr>
                <w:rFonts w:hint="eastAsia" w:ascii="仿宋_GB2312" w:hAnsi="仿宋_GB2312" w:eastAsia="仿宋_GB2312" w:cs="仿宋_GB2312"/>
                <w:color w:val="auto"/>
                <w:spacing w:val="0"/>
                <w:kern w:val="0"/>
                <w:sz w:val="24"/>
                <w:szCs w:val="24"/>
                <w:lang w:val="en-US" w:eastAsia="zh-CN"/>
              </w:rPr>
              <w:t>1</w:t>
            </w:r>
            <w:r>
              <w:rPr>
                <w:rFonts w:hint="eastAsia" w:ascii="仿宋_GB2312" w:hAnsi="仿宋_GB2312" w:eastAsia="仿宋_GB2312" w:cs="仿宋_GB2312"/>
                <w:color w:val="auto"/>
                <w:spacing w:val="0"/>
                <w:kern w:val="0"/>
                <w:sz w:val="24"/>
                <w:szCs w:val="24"/>
              </w:rPr>
              <w:t>.食品经营场所面积为同一经营地址内食品销售、贮存场所的面积总和。</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jc w:val="both"/>
              <w:textAlignment w:val="baseline"/>
              <w:rPr>
                <w:rFonts w:hint="eastAsia" w:ascii="仿宋_GB2312" w:hAnsi="仿宋_GB2312" w:eastAsia="仿宋_GB2312" w:cs="仿宋_GB2312"/>
                <w:color w:val="auto"/>
                <w:spacing w:val="0"/>
                <w:kern w:val="0"/>
                <w:sz w:val="24"/>
                <w:szCs w:val="24"/>
              </w:rPr>
            </w:pPr>
            <w:r>
              <w:rPr>
                <w:rFonts w:hint="eastAsia" w:ascii="仿宋_GB2312" w:hAnsi="仿宋_GB2312" w:eastAsia="仿宋_GB2312" w:cs="仿宋_GB2312"/>
                <w:color w:val="auto"/>
                <w:spacing w:val="0"/>
                <w:kern w:val="0"/>
                <w:sz w:val="24"/>
                <w:szCs w:val="24"/>
                <w:lang w:val="en-US" w:eastAsia="zh-CN"/>
              </w:rPr>
              <w:t>2</w:t>
            </w:r>
            <w:r>
              <w:rPr>
                <w:rFonts w:hint="eastAsia" w:ascii="仿宋_GB2312" w:hAnsi="仿宋_GB2312" w:eastAsia="仿宋_GB2312" w:cs="仿宋_GB2312"/>
                <w:color w:val="auto"/>
                <w:spacing w:val="0"/>
                <w:kern w:val="0"/>
                <w:sz w:val="24"/>
                <w:szCs w:val="24"/>
              </w:rPr>
              <w:t>.具有多种经营种类的，按照风险等级最高的分数进行计算</w:t>
            </w:r>
            <w:r>
              <w:rPr>
                <w:rFonts w:hint="eastAsia" w:ascii="仿宋_GB2312" w:hAnsi="仿宋_GB2312" w:eastAsia="仿宋_GB2312" w:cs="仿宋_GB2312"/>
                <w:color w:val="auto"/>
                <w:spacing w:val="0"/>
                <w:kern w:val="0"/>
                <w:sz w:val="24"/>
                <w:szCs w:val="24"/>
                <w:lang w:eastAsia="zh-CN"/>
              </w:rPr>
              <w:t>，</w:t>
            </w:r>
            <w:r>
              <w:rPr>
                <w:rFonts w:hint="eastAsia" w:ascii="仿宋_GB2312" w:hAnsi="仿宋_GB2312" w:eastAsia="仿宋_GB2312" w:cs="仿宋_GB2312"/>
                <w:color w:val="auto"/>
                <w:spacing w:val="0"/>
                <w:kern w:val="0"/>
                <w:sz w:val="24"/>
                <w:szCs w:val="24"/>
              </w:rPr>
              <w:t>如既有预包装食品又有散装食品的，按20分计。</w:t>
            </w:r>
          </w:p>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105" w:leftChars="50" w:right="105" w:rightChars="50"/>
              <w:jc w:val="both"/>
              <w:textAlignment w:val="baseline"/>
              <w:rPr>
                <w:rFonts w:hint="eastAsia" w:ascii="宋体" w:hAnsi="宋体" w:eastAsia="宋体" w:cs="宋体"/>
                <w:spacing w:val="0"/>
                <w:kern w:val="0"/>
                <w:sz w:val="24"/>
                <w:szCs w:val="24"/>
                <w:lang w:val="en-US" w:eastAsia="zh-CN"/>
              </w:rPr>
            </w:pPr>
            <w:r>
              <w:rPr>
                <w:rFonts w:hint="eastAsia" w:ascii="仿宋_GB2312" w:hAnsi="仿宋_GB2312" w:eastAsia="仿宋_GB2312" w:cs="仿宋_GB2312"/>
                <w:color w:val="auto"/>
                <w:spacing w:val="0"/>
                <w:kern w:val="0"/>
                <w:sz w:val="24"/>
                <w:szCs w:val="24"/>
                <w:lang w:val="en-US" w:eastAsia="zh-CN"/>
              </w:rPr>
              <w:t>3.对在经营场所内存在食品简单制售活动的经营主体，该主体的风险等级在按照销售风险因素评定后的等级基础上，上调1个风险等级。开展食品制售行为的经营主体，原则上应当按照餐饮食品安全风险因素进行风险等级。</w:t>
            </w:r>
          </w:p>
        </w:tc>
      </w:tr>
    </w:tbl>
    <w:p>
      <w:pPr>
        <w:pStyle w:val="16"/>
        <w:widowControl/>
        <w:spacing w:before="71" w:line="216" w:lineRule="auto"/>
        <w:jc w:val="left"/>
        <w:rPr>
          <w:rFonts w:hint="eastAsia" w:ascii="Times New Roman" w:hAnsi="Times New Roman" w:eastAsia="方正小标宋简体" w:cs="Times New Roman"/>
          <w:kern w:val="0"/>
          <w:sz w:val="36"/>
          <w:szCs w:val="36"/>
          <w:highlight w:val="none"/>
          <w:lang w:val="en-US" w:eastAsia="zh-CN"/>
        </w:rPr>
        <w:sectPr>
          <w:pgSz w:w="11906" w:h="16838"/>
          <w:pgMar w:top="2098" w:right="1474" w:bottom="1984" w:left="1587"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黑体" w:hAnsi="黑体" w:eastAsia="黑体" w:cs="黑体"/>
          <w:color w:val="auto"/>
          <w:spacing w:val="-6"/>
          <w:sz w:val="32"/>
          <w:szCs w:val="32"/>
          <w:highlight w:val="none"/>
          <w:lang w:val="en-US" w:eastAsia="zh-CN"/>
        </w:rPr>
      </w:pPr>
      <w:r>
        <w:rPr>
          <w:rFonts w:hint="eastAsia" w:ascii="黑体" w:hAnsi="黑体" w:eastAsia="黑体" w:cs="黑体"/>
          <w:color w:val="auto"/>
          <w:spacing w:val="-6"/>
          <w:sz w:val="32"/>
          <w:szCs w:val="32"/>
          <w:highlight w:val="none"/>
          <w:lang w:eastAsia="zh-CN"/>
        </w:rPr>
        <w:t>附件</w:t>
      </w:r>
      <w:r>
        <w:rPr>
          <w:rFonts w:hint="eastAsia" w:ascii="黑体" w:hAnsi="黑体" w:eastAsia="黑体" w:cs="黑体"/>
          <w:color w:val="auto"/>
          <w:spacing w:val="-6"/>
          <w:sz w:val="32"/>
          <w:szCs w:val="32"/>
          <w:highlight w:val="none"/>
          <w:lang w:val="en-US" w:eastAsia="zh-CN"/>
        </w:rPr>
        <w:t>3-2</w:t>
      </w: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default" w:ascii="Times New Roman" w:hAnsi="Times New Roman" w:eastAsia="方正小标宋简体" w:cs="Times New Roman"/>
          <w:color w:val="auto"/>
          <w:spacing w:val="-6"/>
          <w:sz w:val="36"/>
          <w:szCs w:val="36"/>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default" w:ascii="Times New Roman" w:hAnsi="Times New Roman" w:eastAsia="方正小标宋简体" w:cs="Times New Roman"/>
          <w:color w:val="auto"/>
          <w:spacing w:val="-6"/>
          <w:sz w:val="44"/>
          <w:szCs w:val="44"/>
          <w:highlight w:val="none"/>
        </w:rPr>
      </w:pPr>
      <w:r>
        <w:rPr>
          <w:rFonts w:hint="default" w:ascii="Times New Roman" w:hAnsi="Times New Roman" w:eastAsia="方正小标宋简体" w:cs="Times New Roman"/>
          <w:color w:val="auto"/>
          <w:spacing w:val="-6"/>
          <w:sz w:val="44"/>
          <w:szCs w:val="44"/>
          <w:highlight w:val="none"/>
        </w:rPr>
        <w:t>食品销售</w:t>
      </w:r>
      <w:r>
        <w:rPr>
          <w:rFonts w:hint="default" w:ascii="Times New Roman" w:hAnsi="Times New Roman" w:eastAsia="方正小标宋简体" w:cs="Times New Roman"/>
          <w:color w:val="auto"/>
          <w:spacing w:val="-6"/>
          <w:sz w:val="44"/>
          <w:szCs w:val="44"/>
          <w:highlight w:val="none"/>
          <w:lang w:eastAsia="zh-CN"/>
        </w:rPr>
        <w:t>者动态风险因素量化分值</w:t>
      </w:r>
      <w:r>
        <w:rPr>
          <w:rFonts w:hint="default" w:ascii="Times New Roman" w:hAnsi="Times New Roman" w:eastAsia="方正小标宋简体" w:cs="Times New Roman"/>
          <w:color w:val="auto"/>
          <w:spacing w:val="-6"/>
          <w:sz w:val="44"/>
          <w:szCs w:val="44"/>
          <w:highlight w:val="none"/>
        </w:rPr>
        <w:t>表</w:t>
      </w: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eastAsia" w:ascii="楷体_GB2312" w:hAnsi="楷体_GB2312" w:eastAsia="楷体_GB2312" w:cs="楷体_GB2312"/>
          <w:b/>
          <w:bCs/>
          <w:color w:val="auto"/>
          <w:spacing w:val="-6"/>
          <w:sz w:val="32"/>
          <w:szCs w:val="32"/>
          <w:highlight w:val="none"/>
          <w:lang w:eastAsia="zh-CN"/>
        </w:rPr>
      </w:pPr>
      <w:r>
        <w:rPr>
          <w:rFonts w:hint="eastAsia" w:ascii="楷体_GB2312" w:hAnsi="楷体_GB2312" w:eastAsia="楷体_GB2312" w:cs="楷体_GB2312"/>
          <w:b/>
          <w:bCs/>
          <w:color w:val="auto"/>
          <w:spacing w:val="-6"/>
          <w:sz w:val="32"/>
          <w:szCs w:val="32"/>
          <w:highlight w:val="none"/>
          <w:lang w:eastAsia="zh-CN"/>
        </w:rPr>
        <w:t>（日常监督检查要点表）</w:t>
      </w: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eastAsia" w:ascii="楷体_GB2312" w:hAnsi="楷体_GB2312" w:eastAsia="楷体_GB2312" w:cs="楷体_GB2312"/>
          <w:b/>
          <w:bCs/>
          <w:color w:val="auto"/>
          <w:spacing w:val="-6"/>
          <w:sz w:val="32"/>
          <w:szCs w:val="32"/>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黑体" w:hAnsi="黑体" w:eastAsia="黑体" w:cs="黑体"/>
          <w:color w:val="auto"/>
          <w:spacing w:val="-6"/>
          <w:sz w:val="28"/>
          <w:szCs w:val="28"/>
          <w:highlight w:val="none"/>
          <w:lang w:eastAsia="zh-CN"/>
        </w:rPr>
      </w:pPr>
      <w:r>
        <w:rPr>
          <w:rFonts w:hint="eastAsia" w:ascii="黑体" w:hAnsi="黑体" w:eastAsia="黑体" w:cs="黑体"/>
          <w:i w:val="0"/>
          <w:iCs w:val="0"/>
          <w:color w:val="auto"/>
          <w:spacing w:val="-6"/>
          <w:kern w:val="0"/>
          <w:sz w:val="28"/>
          <w:szCs w:val="28"/>
          <w:highlight w:val="none"/>
          <w:u w:val="none"/>
          <w:lang w:val="en-US" w:eastAsia="zh-CN" w:bidi="ar"/>
        </w:rPr>
        <w:t>检查对象名称：</w:t>
      </w:r>
      <w:r>
        <w:rPr>
          <w:rFonts w:hint="eastAsia" w:ascii="黑体" w:hAnsi="黑体" w:eastAsia="黑体" w:cs="黑体"/>
          <w:bCs/>
          <w:color w:val="auto"/>
          <w:spacing w:val="-6"/>
          <w:sz w:val="28"/>
          <w:szCs w:val="28"/>
          <w:highlight w:val="none"/>
          <w:u w:val="single"/>
        </w:rPr>
        <w:t xml:space="preserve">     </w:t>
      </w:r>
      <w:r>
        <w:rPr>
          <w:rFonts w:hint="eastAsia" w:ascii="黑体" w:hAnsi="黑体" w:eastAsia="黑体" w:cs="黑体"/>
          <w:bCs/>
          <w:color w:val="auto"/>
          <w:spacing w:val="-6"/>
          <w:sz w:val="28"/>
          <w:szCs w:val="28"/>
          <w:highlight w:val="none"/>
          <w:u w:val="single"/>
          <w:lang w:val="en-US" w:eastAsia="zh-CN"/>
        </w:rPr>
        <w:t xml:space="preserve">    </w:t>
      </w:r>
      <w:r>
        <w:rPr>
          <w:rFonts w:hint="eastAsia" w:ascii="黑体" w:hAnsi="黑体" w:eastAsia="黑体" w:cs="黑体"/>
          <w:bCs/>
          <w:color w:val="auto"/>
          <w:spacing w:val="-6"/>
          <w:sz w:val="28"/>
          <w:szCs w:val="28"/>
          <w:highlight w:val="none"/>
          <w:u w:val="single"/>
        </w:rPr>
        <w:t xml:space="preserve"> </w:t>
      </w:r>
      <w:r>
        <w:rPr>
          <w:rFonts w:hint="eastAsia" w:ascii="黑体" w:hAnsi="黑体" w:eastAsia="黑体" w:cs="黑体"/>
          <w:bCs/>
          <w:color w:val="auto"/>
          <w:spacing w:val="-6"/>
          <w:sz w:val="28"/>
          <w:szCs w:val="28"/>
          <w:highlight w:val="none"/>
          <w:u w:val="single"/>
          <w:lang w:val="en-US" w:eastAsia="zh-CN"/>
        </w:rPr>
        <w:t xml:space="preserve">           </w:t>
      </w:r>
      <w:r>
        <w:rPr>
          <w:rFonts w:hint="eastAsia" w:ascii="黑体" w:hAnsi="黑体" w:eastAsia="黑体" w:cs="黑体"/>
          <w:i w:val="0"/>
          <w:iCs w:val="0"/>
          <w:color w:val="auto"/>
          <w:spacing w:val="-6"/>
          <w:kern w:val="0"/>
          <w:sz w:val="28"/>
          <w:szCs w:val="28"/>
          <w:highlight w:val="none"/>
          <w:u w:val="none"/>
          <w:lang w:val="en-US" w:eastAsia="zh-CN" w:bidi="ar"/>
        </w:rPr>
        <w:t xml:space="preserve">   社会信用代码/注册号</w:t>
      </w:r>
      <w:r>
        <w:rPr>
          <w:rFonts w:hint="eastAsia" w:ascii="黑体" w:hAnsi="黑体" w:eastAsia="黑体" w:cs="黑体"/>
          <w:bCs/>
          <w:color w:val="auto"/>
          <w:spacing w:val="-6"/>
          <w:sz w:val="28"/>
          <w:szCs w:val="28"/>
          <w:highlight w:val="none"/>
        </w:rPr>
        <w:t>：</w:t>
      </w:r>
      <w:r>
        <w:rPr>
          <w:rFonts w:hint="eastAsia" w:ascii="黑体" w:hAnsi="黑体" w:eastAsia="黑体" w:cs="黑体"/>
          <w:bCs/>
          <w:color w:val="auto"/>
          <w:spacing w:val="-6"/>
          <w:sz w:val="28"/>
          <w:szCs w:val="28"/>
          <w:highlight w:val="none"/>
          <w:u w:val="single"/>
        </w:rPr>
        <w:t xml:space="preserve">         </w:t>
      </w:r>
      <w:r>
        <w:rPr>
          <w:rFonts w:hint="eastAsia" w:ascii="黑体" w:hAnsi="黑体" w:eastAsia="黑体" w:cs="黑体"/>
          <w:bCs/>
          <w:color w:val="auto"/>
          <w:spacing w:val="-6"/>
          <w:sz w:val="28"/>
          <w:szCs w:val="28"/>
          <w:highlight w:val="none"/>
          <w:u w:val="single"/>
          <w:lang w:val="en-US" w:eastAsia="zh-CN"/>
        </w:rPr>
        <w:t xml:space="preserve">         </w:t>
      </w:r>
      <w:r>
        <w:rPr>
          <w:rFonts w:hint="eastAsia" w:ascii="黑体" w:hAnsi="黑体" w:eastAsia="黑体" w:cs="黑体"/>
          <w:i w:val="0"/>
          <w:iCs w:val="0"/>
          <w:color w:val="auto"/>
          <w:spacing w:val="-6"/>
          <w:kern w:val="0"/>
          <w:sz w:val="28"/>
          <w:szCs w:val="28"/>
          <w:highlight w:val="none"/>
          <w:u w:val="none"/>
          <w:lang w:val="en-US" w:eastAsia="zh-CN" w:bidi="ar"/>
        </w:rPr>
        <w:t xml:space="preserve">   时间：</w:t>
      </w:r>
      <w:r>
        <w:rPr>
          <w:rFonts w:hint="eastAsia" w:ascii="黑体" w:hAnsi="黑体" w:eastAsia="黑体" w:cs="黑体"/>
          <w:bCs/>
          <w:color w:val="auto"/>
          <w:spacing w:val="-6"/>
          <w:sz w:val="28"/>
          <w:szCs w:val="28"/>
          <w:highlight w:val="none"/>
          <w:u w:val="single"/>
        </w:rPr>
        <w:t xml:space="preserve">    </w:t>
      </w:r>
      <w:r>
        <w:rPr>
          <w:rFonts w:hint="eastAsia" w:ascii="黑体" w:hAnsi="黑体" w:eastAsia="黑体" w:cs="黑体"/>
          <w:i w:val="0"/>
          <w:iCs w:val="0"/>
          <w:color w:val="auto"/>
          <w:spacing w:val="-6"/>
          <w:kern w:val="0"/>
          <w:sz w:val="28"/>
          <w:szCs w:val="28"/>
          <w:highlight w:val="none"/>
          <w:u w:val="none"/>
          <w:lang w:val="en-US" w:eastAsia="zh-CN" w:bidi="ar"/>
        </w:rPr>
        <w:t>年</w:t>
      </w:r>
      <w:r>
        <w:rPr>
          <w:rFonts w:hint="eastAsia" w:ascii="黑体" w:hAnsi="黑体" w:eastAsia="黑体" w:cs="黑体"/>
          <w:bCs/>
          <w:color w:val="auto"/>
          <w:spacing w:val="-6"/>
          <w:sz w:val="28"/>
          <w:szCs w:val="28"/>
          <w:highlight w:val="none"/>
          <w:u w:val="single"/>
        </w:rPr>
        <w:t xml:space="preserve">  </w:t>
      </w:r>
      <w:r>
        <w:rPr>
          <w:rFonts w:hint="eastAsia" w:ascii="黑体" w:hAnsi="黑体" w:eastAsia="黑体" w:cs="黑体"/>
          <w:bCs/>
          <w:color w:val="auto"/>
          <w:spacing w:val="-6"/>
          <w:sz w:val="28"/>
          <w:szCs w:val="28"/>
          <w:highlight w:val="none"/>
          <w:u w:val="single"/>
          <w:lang w:val="en-US" w:eastAsia="zh-CN"/>
        </w:rPr>
        <w:t xml:space="preserve"> </w:t>
      </w:r>
      <w:r>
        <w:rPr>
          <w:rFonts w:hint="eastAsia" w:ascii="黑体" w:hAnsi="黑体" w:eastAsia="黑体" w:cs="黑体"/>
          <w:i w:val="0"/>
          <w:iCs w:val="0"/>
          <w:color w:val="auto"/>
          <w:spacing w:val="-6"/>
          <w:kern w:val="0"/>
          <w:sz w:val="28"/>
          <w:szCs w:val="28"/>
          <w:highlight w:val="none"/>
          <w:u w:val="none"/>
          <w:lang w:val="en-US" w:eastAsia="zh-CN" w:bidi="ar"/>
        </w:rPr>
        <w:t>月</w:t>
      </w:r>
      <w:r>
        <w:rPr>
          <w:rFonts w:hint="eastAsia" w:ascii="黑体" w:hAnsi="黑体" w:eastAsia="黑体" w:cs="黑体"/>
          <w:bCs/>
          <w:color w:val="auto"/>
          <w:spacing w:val="-6"/>
          <w:sz w:val="28"/>
          <w:szCs w:val="28"/>
          <w:highlight w:val="none"/>
          <w:u w:val="single"/>
        </w:rPr>
        <w:t xml:space="preserve"> </w:t>
      </w:r>
      <w:r>
        <w:rPr>
          <w:rFonts w:hint="eastAsia" w:ascii="黑体" w:hAnsi="黑体" w:eastAsia="黑体" w:cs="黑体"/>
          <w:bCs/>
          <w:color w:val="auto"/>
          <w:spacing w:val="-6"/>
          <w:sz w:val="28"/>
          <w:szCs w:val="28"/>
          <w:highlight w:val="none"/>
          <w:u w:val="single"/>
          <w:lang w:val="en-US" w:eastAsia="zh-CN"/>
        </w:rPr>
        <w:t xml:space="preserve"> </w:t>
      </w:r>
      <w:r>
        <w:rPr>
          <w:rFonts w:hint="eastAsia" w:ascii="黑体" w:hAnsi="黑体" w:eastAsia="黑体" w:cs="黑体"/>
          <w:bCs/>
          <w:color w:val="auto"/>
          <w:spacing w:val="-6"/>
          <w:sz w:val="28"/>
          <w:szCs w:val="28"/>
          <w:highlight w:val="none"/>
          <w:u w:val="single"/>
        </w:rPr>
        <w:t xml:space="preserve"> </w:t>
      </w:r>
      <w:r>
        <w:rPr>
          <w:rFonts w:hint="eastAsia" w:ascii="黑体" w:hAnsi="黑体" w:eastAsia="黑体" w:cs="黑体"/>
          <w:i w:val="0"/>
          <w:iCs w:val="0"/>
          <w:color w:val="auto"/>
          <w:spacing w:val="-6"/>
          <w:kern w:val="0"/>
          <w:sz w:val="28"/>
          <w:szCs w:val="28"/>
          <w:highlight w:val="none"/>
          <w:u w:val="none"/>
          <w:lang w:val="en-US" w:eastAsia="zh-CN" w:bidi="ar"/>
        </w:rPr>
        <w:t>日</w:t>
      </w:r>
    </w:p>
    <w:tbl>
      <w:tblPr>
        <w:tblStyle w:val="9"/>
        <w:tblW w:w="1417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3"/>
        <w:gridCol w:w="958"/>
        <w:gridCol w:w="7732"/>
        <w:gridCol w:w="1494"/>
        <w:gridCol w:w="848"/>
        <w:gridCol w:w="848"/>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blHeader/>
          <w:jc w:val="center"/>
        </w:trPr>
        <w:tc>
          <w:tcPr>
            <w:tcW w:w="1443"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黑体" w:hAnsi="黑体" w:eastAsia="黑体" w:cs="黑体"/>
                <w:b w:val="0"/>
                <w:bCs w:val="0"/>
                <w:color w:val="auto"/>
                <w:spacing w:val="0"/>
                <w:kern w:val="0"/>
                <w:sz w:val="24"/>
                <w:szCs w:val="24"/>
                <w:highlight w:val="none"/>
              </w:rPr>
            </w:pPr>
            <w:r>
              <w:rPr>
                <w:rFonts w:hint="eastAsia" w:ascii="黑体" w:hAnsi="黑体" w:eastAsia="黑体" w:cs="黑体"/>
                <w:b w:val="0"/>
                <w:bCs w:val="0"/>
                <w:color w:val="auto"/>
                <w:spacing w:val="0"/>
                <w:kern w:val="0"/>
                <w:sz w:val="24"/>
                <w:szCs w:val="24"/>
                <w:highlight w:val="none"/>
              </w:rPr>
              <w:t>检查项目</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黑体" w:hAnsi="黑体" w:eastAsia="黑体" w:cs="黑体"/>
                <w:b w:val="0"/>
                <w:bCs w:val="0"/>
                <w:color w:val="auto"/>
                <w:spacing w:val="0"/>
                <w:kern w:val="0"/>
                <w:sz w:val="24"/>
                <w:szCs w:val="24"/>
                <w:highlight w:val="none"/>
              </w:rPr>
            </w:pPr>
            <w:r>
              <w:rPr>
                <w:rFonts w:hint="eastAsia" w:ascii="黑体" w:hAnsi="黑体" w:eastAsia="黑体" w:cs="黑体"/>
                <w:b w:val="0"/>
                <w:bCs w:val="0"/>
                <w:color w:val="auto"/>
                <w:spacing w:val="0"/>
                <w:kern w:val="0"/>
                <w:sz w:val="24"/>
                <w:szCs w:val="24"/>
                <w:highlight w:val="none"/>
              </w:rPr>
              <w:t>序号</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黑体" w:hAnsi="黑体" w:eastAsia="黑体" w:cs="黑体"/>
                <w:b w:val="0"/>
                <w:bCs w:val="0"/>
                <w:color w:val="auto"/>
                <w:spacing w:val="0"/>
                <w:kern w:val="0"/>
                <w:sz w:val="24"/>
                <w:szCs w:val="24"/>
                <w:highlight w:val="none"/>
              </w:rPr>
            </w:pPr>
            <w:r>
              <w:rPr>
                <w:rFonts w:hint="eastAsia" w:ascii="黑体" w:hAnsi="黑体" w:eastAsia="黑体" w:cs="黑体"/>
                <w:b w:val="0"/>
                <w:bCs w:val="0"/>
                <w:color w:val="auto"/>
                <w:spacing w:val="0"/>
                <w:kern w:val="0"/>
                <w:sz w:val="24"/>
                <w:szCs w:val="24"/>
                <w:highlight w:val="none"/>
              </w:rPr>
              <w:t>检查内容</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黑体" w:hAnsi="黑体" w:eastAsia="黑体" w:cs="黑体"/>
                <w:b w:val="0"/>
                <w:bCs w:val="0"/>
                <w:color w:val="auto"/>
                <w:spacing w:val="0"/>
                <w:kern w:val="0"/>
                <w:sz w:val="24"/>
                <w:szCs w:val="24"/>
                <w:highlight w:val="none"/>
                <w:lang w:eastAsia="zh-CN"/>
              </w:rPr>
            </w:pPr>
            <w:r>
              <w:rPr>
                <w:rFonts w:hint="eastAsia" w:ascii="黑体" w:hAnsi="黑体" w:eastAsia="黑体" w:cs="黑体"/>
                <w:b w:val="0"/>
                <w:bCs w:val="0"/>
                <w:color w:val="auto"/>
                <w:spacing w:val="0"/>
                <w:kern w:val="0"/>
                <w:sz w:val="24"/>
                <w:szCs w:val="24"/>
                <w:highlight w:val="none"/>
                <w:lang w:eastAsia="zh-CN"/>
              </w:rPr>
              <w:t>检查结果</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黑体" w:hAnsi="黑体" w:eastAsia="黑体" w:cs="黑体"/>
                <w:b w:val="0"/>
                <w:bCs w:val="0"/>
                <w:color w:val="auto"/>
                <w:spacing w:val="0"/>
                <w:kern w:val="0"/>
                <w:sz w:val="24"/>
                <w:szCs w:val="24"/>
                <w:highlight w:val="none"/>
                <w:lang w:eastAsia="zh-CN"/>
              </w:rPr>
            </w:pPr>
            <w:r>
              <w:rPr>
                <w:rFonts w:hint="eastAsia" w:ascii="黑体" w:hAnsi="黑体" w:eastAsia="黑体" w:cs="黑体"/>
                <w:b w:val="0"/>
                <w:bCs w:val="0"/>
                <w:color w:val="auto"/>
                <w:spacing w:val="0"/>
                <w:kern w:val="0"/>
                <w:sz w:val="24"/>
                <w:szCs w:val="24"/>
                <w:highlight w:val="none"/>
                <w:lang w:eastAsia="zh-CN"/>
              </w:rPr>
              <w:t>分值</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黑体" w:hAnsi="黑体" w:eastAsia="黑体" w:cs="黑体"/>
                <w:b w:val="0"/>
                <w:bCs w:val="0"/>
                <w:color w:val="auto"/>
                <w:spacing w:val="0"/>
                <w:kern w:val="0"/>
                <w:sz w:val="24"/>
                <w:szCs w:val="24"/>
                <w:highlight w:val="none"/>
                <w:lang w:eastAsia="zh-CN"/>
              </w:rPr>
            </w:pPr>
            <w:r>
              <w:rPr>
                <w:rFonts w:hint="eastAsia" w:ascii="黑体" w:hAnsi="黑体" w:eastAsia="黑体" w:cs="黑体"/>
                <w:b w:val="0"/>
                <w:bCs w:val="0"/>
                <w:color w:val="auto"/>
                <w:spacing w:val="0"/>
                <w:kern w:val="0"/>
                <w:sz w:val="24"/>
                <w:szCs w:val="24"/>
                <w:highlight w:val="none"/>
                <w:lang w:eastAsia="zh-CN"/>
              </w:rPr>
              <w:t>得分</w:t>
            </w: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黑体" w:hAnsi="黑体" w:eastAsia="黑体" w:cs="黑体"/>
                <w:b w:val="0"/>
                <w:bCs w:val="0"/>
                <w:color w:val="auto"/>
                <w:spacing w:val="0"/>
                <w:kern w:val="0"/>
                <w:sz w:val="24"/>
                <w:szCs w:val="24"/>
                <w:highlight w:val="none"/>
                <w:lang w:eastAsia="zh-CN"/>
              </w:rPr>
            </w:pPr>
            <w:r>
              <w:rPr>
                <w:rFonts w:hint="eastAsia" w:ascii="黑体" w:hAnsi="黑体" w:eastAsia="黑体" w:cs="黑体"/>
                <w:b w:val="0"/>
                <w:bCs w:val="0"/>
                <w:color w:val="auto"/>
                <w:spacing w:val="0"/>
                <w:kern w:val="0"/>
                <w:sz w:val="24"/>
                <w:szCs w:val="24"/>
                <w:highlight w:val="none"/>
                <w:lang w:eastAsia="zh-CN"/>
              </w:rPr>
              <w:t>存在问题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2475" w:type="dxa"/>
            <w:gridSpan w:val="5"/>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eastAsia="zh-CN"/>
              </w:rPr>
            </w:pPr>
            <w:r>
              <w:rPr>
                <w:rFonts w:hint="eastAsia" w:ascii="黑体" w:hAnsi="黑体" w:eastAsia="黑体" w:cs="黑体"/>
                <w:b w:val="0"/>
                <w:bCs w:val="0"/>
                <w:color w:val="auto"/>
                <w:spacing w:val="0"/>
                <w:kern w:val="0"/>
                <w:sz w:val="24"/>
                <w:szCs w:val="24"/>
                <w:highlight w:val="none"/>
              </w:rPr>
              <w:t>食品通用检查项目（</w:t>
            </w:r>
            <w:r>
              <w:rPr>
                <w:rFonts w:hint="eastAsia" w:ascii="黑体" w:hAnsi="黑体" w:eastAsia="黑体" w:cs="黑体"/>
                <w:b w:val="0"/>
                <w:bCs w:val="0"/>
                <w:color w:val="auto"/>
                <w:spacing w:val="0"/>
                <w:kern w:val="0"/>
                <w:sz w:val="24"/>
                <w:szCs w:val="24"/>
                <w:highlight w:val="none"/>
                <w:lang w:val="en-US" w:eastAsia="zh-CN"/>
              </w:rPr>
              <w:t>48项，15分；其中：重点项16项，一般项32项</w:t>
            </w:r>
            <w:r>
              <w:rPr>
                <w:rFonts w:hint="eastAsia" w:ascii="黑体" w:hAnsi="黑体" w:eastAsia="黑体" w:cs="黑体"/>
                <w:b w:val="0"/>
                <w:bCs w:val="0"/>
                <w:color w:val="auto"/>
                <w:spacing w:val="0"/>
                <w:kern w:val="0"/>
                <w:sz w:val="24"/>
                <w:szCs w:val="24"/>
                <w:highlight w:val="none"/>
                <w:lang w:eastAsia="zh-CN"/>
              </w:rPr>
              <w:t>）</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vAlign w:val="center"/>
          </w:tcPr>
          <w:p>
            <w:pPr>
              <w:pStyle w:val="16"/>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仿宋_GB2312" w:hAnsi="仿宋_GB2312" w:eastAsia="仿宋_GB2312" w:cs="仿宋_GB2312"/>
                <w:b/>
                <w:bCs/>
                <w:color w:val="auto"/>
                <w:spacing w:val="0"/>
                <w:kern w:val="0"/>
                <w:sz w:val="24"/>
                <w:szCs w:val="24"/>
                <w:highlight w:val="none"/>
              </w:rPr>
            </w:pPr>
            <w:r>
              <w:rPr>
                <w:rFonts w:hint="eastAsia" w:ascii="仿宋_GB2312" w:hAnsi="仿宋_GB2312" w:eastAsia="仿宋_GB2312" w:cs="仿宋_GB2312"/>
                <w:b/>
                <w:bCs/>
                <w:color w:val="auto"/>
                <w:spacing w:val="0"/>
                <w:kern w:val="0"/>
                <w:sz w:val="24"/>
                <w:szCs w:val="24"/>
                <w:highlight w:val="none"/>
                <w:lang w:val="en-US" w:eastAsia="zh-CN" w:bidi="ar-SA"/>
              </w:rPr>
              <w:t>1.食品安全自查</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both"/>
              <w:textAlignment w:val="center"/>
              <w:rPr>
                <w:rFonts w:hint="eastAsia" w:ascii="仿宋_GB2312" w:hAnsi="仿宋_GB2312" w:eastAsia="仿宋_GB2312" w:cs="仿宋_GB2312"/>
                <w:bCs/>
                <w:color w:val="auto"/>
                <w:spacing w:val="0"/>
                <w:kern w:val="0"/>
                <w:sz w:val="24"/>
                <w:szCs w:val="24"/>
                <w:highlight w:val="none"/>
              </w:rPr>
            </w:pPr>
            <w:r>
              <w:rPr>
                <w:rFonts w:hint="eastAsia" w:ascii="仿宋_GB2312" w:hAnsi="仿宋_GB2312" w:eastAsia="仿宋_GB2312" w:cs="仿宋_GB2312"/>
                <w:bCs/>
                <w:color w:val="auto"/>
                <w:spacing w:val="0"/>
                <w:kern w:val="0"/>
                <w:sz w:val="24"/>
                <w:szCs w:val="24"/>
                <w:highlight w:val="none"/>
              </w:rPr>
              <w:t>具有食品安全自查制度。</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wordWrap/>
              <w:overflowPunct/>
              <w:topLinePunct w:val="0"/>
              <w:bidi w:val="0"/>
              <w:adjustRightInd w:val="0"/>
              <w:snapToGrid w:val="0"/>
              <w:spacing w:line="240" w:lineRule="auto"/>
              <w:jc w:val="center"/>
              <w:rPr>
                <w:rFonts w:hint="eastAsia" w:ascii="仿宋_GB2312" w:hAnsi="仿宋_GB2312" w:eastAsia="仿宋_GB2312" w:cs="仿宋_GB2312"/>
                <w:color w:val="auto"/>
                <w:spacing w:val="0"/>
                <w:kern w:val="0"/>
                <w:sz w:val="24"/>
                <w:szCs w:val="24"/>
                <w:lang w:val="en-US" w:eastAsia="zh-CN" w:bidi="ar-SA"/>
              </w:rPr>
            </w:pPr>
            <w:r>
              <w:rPr>
                <w:rFonts w:hint="eastAsia" w:ascii="仿宋_GB2312" w:hAnsi="仿宋_GB2312" w:eastAsia="仿宋_GB2312" w:cs="仿宋_GB2312"/>
                <w:color w:val="auto"/>
                <w:spacing w:val="0"/>
                <w:kern w:val="0"/>
                <w:sz w:val="24"/>
                <w:szCs w:val="24"/>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u w:val="none" w:color="FF0000"/>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9"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both"/>
              <w:textAlignment w:val="center"/>
              <w:rPr>
                <w:rFonts w:hint="eastAsia" w:ascii="仿宋_GB2312" w:hAnsi="仿宋_GB2312" w:eastAsia="仿宋_GB2312" w:cs="仿宋_GB2312"/>
                <w:bCs/>
                <w:color w:val="auto"/>
                <w:spacing w:val="0"/>
                <w:kern w:val="0"/>
                <w:sz w:val="24"/>
                <w:szCs w:val="24"/>
                <w:highlight w:val="none"/>
              </w:rPr>
            </w:pPr>
            <w:r>
              <w:rPr>
                <w:rFonts w:hint="eastAsia" w:ascii="仿宋_GB2312" w:hAnsi="仿宋_GB2312" w:eastAsia="仿宋_GB2312" w:cs="仿宋_GB2312"/>
                <w:bCs/>
                <w:color w:val="auto"/>
                <w:spacing w:val="0"/>
                <w:kern w:val="0"/>
                <w:sz w:val="24"/>
                <w:szCs w:val="24"/>
                <w:highlight w:val="none"/>
              </w:rPr>
              <w:t>按照制度要求定期对采购、售卖、贮存、运输等过程的食品安全状况以及食品安全管理情况进行检查评价。</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u w:val="none" w:color="FF0000"/>
                <w:lang w:val="en-US" w:eastAsia="zh-CN"/>
              </w:rPr>
            </w:pPr>
            <w:r>
              <w:rPr>
                <w:rFonts w:hint="eastAsia" w:ascii="仿宋_GB2312" w:hAnsi="仿宋_GB2312" w:eastAsia="仿宋_GB2312" w:cs="仿宋_GB2312"/>
                <w:color w:val="auto"/>
                <w:spacing w:val="0"/>
                <w:kern w:val="0"/>
                <w:sz w:val="24"/>
                <w:szCs w:val="24"/>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u w:val="none" w:color="FF0000"/>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1"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both"/>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经营条件发生变化或自查发现问题，不符合食品安全要求的，立即采取整改措施。</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5"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自查发现食品安全事故潜在风险时，立即停止经营活动并向所在地市场监督管理部门报告。</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6"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通过网络从事食品经营活动的，按照法律法规规定落实各项食品安全主体责任。</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0" w:hRule="atLeast"/>
          <w:jc w:val="center"/>
        </w:trPr>
        <w:tc>
          <w:tcPr>
            <w:tcW w:w="1443"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2.食品安全追溯体系</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具有食品安全追溯体系，按照法律法规规定如实记录并保存进货查验、食品销售等信息，保证食品可追溯。</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2</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1" w:hRule="atLeast"/>
          <w:jc w:val="center"/>
        </w:trPr>
        <w:tc>
          <w:tcPr>
            <w:tcW w:w="1443" w:type="dxa"/>
            <w:vMerge w:val="restart"/>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3.从业人员管理</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3.1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具有并落实从业人员健康管理制度。</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12"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3.2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未发现法律法规规定的禁止从业行为：</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val="en-US" w:eastAsia="zh-CN"/>
              </w:rPr>
              <w:t>1.</w:t>
            </w:r>
            <w:r>
              <w:rPr>
                <w:rFonts w:hint="eastAsia" w:ascii="仿宋_GB2312" w:hAnsi="仿宋_GB2312" w:eastAsia="仿宋_GB2312" w:cs="仿宋_GB2312"/>
                <w:color w:val="auto"/>
                <w:spacing w:val="0"/>
                <w:kern w:val="0"/>
                <w:sz w:val="24"/>
                <w:szCs w:val="24"/>
                <w:highlight w:val="none"/>
                <w:lang w:eastAsia="zh-CN"/>
              </w:rPr>
              <w:t>被吊销许可证的食品生产经营者及其法定代表人、直接负责的主管人员和其他直接责任人员自处罚决定作出之日起五年内申请食品经营许可，或者从事食品销售管理工作、担任食品销售企业食品安全管理人员。</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val="en-US" w:eastAsia="zh-CN"/>
              </w:rPr>
              <w:t>2.</w:t>
            </w:r>
            <w:r>
              <w:rPr>
                <w:rFonts w:hint="eastAsia" w:ascii="仿宋_GB2312" w:hAnsi="仿宋_GB2312" w:eastAsia="仿宋_GB2312" w:cs="仿宋_GB2312"/>
                <w:color w:val="auto"/>
                <w:spacing w:val="0"/>
                <w:kern w:val="0"/>
                <w:sz w:val="24"/>
                <w:szCs w:val="24"/>
                <w:highlight w:val="none"/>
                <w:lang w:eastAsia="zh-CN"/>
              </w:rPr>
              <w:t>因食品安全犯罪被判处有期徒刑以上刑罚的，从事食品销售管理工作，担任食品销售企业食品安全管理人员。</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8" w:hRule="atLeast"/>
          <w:jc w:val="center"/>
        </w:trPr>
        <w:tc>
          <w:tcPr>
            <w:tcW w:w="1443" w:type="dxa"/>
            <w:vMerge w:val="restart"/>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4.许可管理</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rPr>
            </w:pPr>
            <w:r>
              <w:rPr>
                <w:rFonts w:hint="eastAsia" w:ascii="仿宋_GB2312" w:hAnsi="仿宋_GB2312" w:eastAsia="仿宋_GB2312" w:cs="仿宋_GB2312"/>
                <w:b/>
                <w:bCs/>
                <w:color w:val="auto"/>
                <w:spacing w:val="0"/>
                <w:kern w:val="0"/>
                <w:sz w:val="24"/>
                <w:szCs w:val="24"/>
                <w:highlight w:val="none"/>
                <w:lang w:val="en-US" w:eastAsia="zh-CN"/>
              </w:rPr>
              <w:t>4.1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lang w:eastAsia="zh-CN"/>
              </w:rPr>
              <w:t>从事散装食品销售活动或简单制售活动的，依法取得食品经营许可。</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rPr>
            </w:pPr>
            <w:r>
              <w:rPr>
                <w:rFonts w:hint="eastAsia" w:ascii="仿宋_GB2312" w:hAnsi="仿宋_GB2312" w:eastAsia="仿宋_GB2312" w:cs="仿宋_GB2312"/>
                <w:b/>
                <w:bCs/>
                <w:color w:val="auto"/>
                <w:spacing w:val="0"/>
                <w:kern w:val="0"/>
                <w:sz w:val="24"/>
                <w:szCs w:val="24"/>
                <w:highlight w:val="none"/>
                <w:lang w:val="en-US" w:eastAsia="zh-CN"/>
              </w:rPr>
              <w:t>4.2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许可证在有效期内。</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rPr>
            </w:pPr>
            <w:r>
              <w:rPr>
                <w:rFonts w:hint="eastAsia" w:ascii="仿宋_GB2312" w:hAnsi="仿宋_GB2312" w:eastAsia="仿宋_GB2312" w:cs="仿宋_GB2312"/>
                <w:b/>
                <w:bCs/>
                <w:color w:val="auto"/>
                <w:spacing w:val="0"/>
                <w:kern w:val="0"/>
                <w:sz w:val="24"/>
                <w:szCs w:val="24"/>
                <w:highlight w:val="none"/>
                <w:u w:val="none" w:color="FF0000"/>
                <w:lang w:val="en-US" w:eastAsia="zh-CN"/>
              </w:rPr>
              <w:t>4.3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经营场所地址与许可证载明内容一致。</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rPr>
            </w:pPr>
            <w:r>
              <w:rPr>
                <w:rFonts w:hint="eastAsia" w:ascii="仿宋_GB2312" w:hAnsi="仿宋_GB2312" w:eastAsia="仿宋_GB2312" w:cs="仿宋_GB2312"/>
                <w:b/>
                <w:bCs/>
                <w:color w:val="auto"/>
                <w:spacing w:val="0"/>
                <w:kern w:val="0"/>
                <w:sz w:val="24"/>
                <w:szCs w:val="24"/>
                <w:highlight w:val="none"/>
                <w:u w:val="none" w:color="FF0000"/>
                <w:lang w:val="en-US" w:eastAsia="zh-CN"/>
              </w:rPr>
              <w:t>4.4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主体业态、经营项目与许可证载明内容一致。</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rPr>
            </w:pPr>
            <w:r>
              <w:rPr>
                <w:rFonts w:hint="eastAsia" w:ascii="仿宋_GB2312" w:hAnsi="仿宋_GB2312" w:eastAsia="仿宋_GB2312" w:cs="仿宋_GB2312"/>
                <w:b/>
                <w:bCs/>
                <w:color w:val="auto"/>
                <w:spacing w:val="0"/>
                <w:kern w:val="0"/>
                <w:sz w:val="24"/>
                <w:szCs w:val="24"/>
                <w:highlight w:val="none"/>
                <w:u w:val="none" w:color="FF0000"/>
                <w:lang w:val="en-US" w:eastAsia="zh-CN"/>
              </w:rPr>
              <w:t>4.5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许可证载明的经营者名称、法定代表人（负责人）与营业执照一致。</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4.6</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在显著位置悬挂、摆放纸质许可证正本或展示其电子证书。</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4.7</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通过第三方平台进行交易的食品销售者，在其经营活动主页面显著位置公示食品经营许可证</w:t>
            </w:r>
            <w:r>
              <w:rPr>
                <w:rFonts w:hint="eastAsia" w:ascii="仿宋_GB2312" w:hAnsi="仿宋_GB2312" w:eastAsia="仿宋_GB2312" w:cs="仿宋_GB2312"/>
                <w:color w:val="auto"/>
                <w:spacing w:val="0"/>
                <w:kern w:val="0"/>
                <w:sz w:val="24"/>
                <w:szCs w:val="24"/>
                <w:highlight w:val="none"/>
                <w:lang w:eastAsia="zh-CN"/>
              </w:rPr>
              <w:t>。</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4.8</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rPr>
              <w:t>通过自建网站交易的食品销售者，在其网站首页显著位置公示食品经营许可证</w:t>
            </w:r>
            <w:r>
              <w:rPr>
                <w:rFonts w:hint="eastAsia" w:ascii="仿宋_GB2312" w:hAnsi="仿宋_GB2312" w:eastAsia="仿宋_GB2312" w:cs="仿宋_GB2312"/>
                <w:color w:val="auto"/>
                <w:spacing w:val="0"/>
                <w:kern w:val="0"/>
                <w:sz w:val="24"/>
                <w:szCs w:val="24"/>
                <w:highlight w:val="none"/>
                <w:lang w:eastAsia="zh-CN"/>
              </w:rPr>
              <w:t>。</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0"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4.9</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未发现法律法规规定的禁止性行为：</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1.伪造、涂改、倒卖、出租、出借、转让许可证；</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2.未获得许可，开展食品销售活动；</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3.超出许可经营项目范围开展销售活动。</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0.6</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1"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eastAsia="zh-CN"/>
              </w:rPr>
            </w:pPr>
            <w:r>
              <w:rPr>
                <w:rFonts w:hint="eastAsia" w:ascii="仿宋_GB2312" w:hAnsi="仿宋_GB2312" w:eastAsia="仿宋_GB2312" w:cs="仿宋_GB2312"/>
                <w:b/>
                <w:bCs/>
                <w:color w:val="auto"/>
                <w:spacing w:val="0"/>
                <w:kern w:val="0"/>
                <w:sz w:val="24"/>
                <w:szCs w:val="24"/>
                <w:highlight w:val="none"/>
                <w:lang w:val="en-US" w:eastAsia="zh-CN"/>
              </w:rPr>
              <w:t>5.场所及布局</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*5.1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具有与销售的食品品种、数量相适应的售卖、贮存等场所。</w:t>
            </w:r>
            <w:r>
              <w:rPr>
                <w:rFonts w:hint="eastAsia" w:ascii="仿宋_GB2312" w:hAnsi="仿宋_GB2312" w:eastAsia="仿宋_GB2312" w:cs="仿宋_GB2312"/>
                <w:color w:val="auto"/>
                <w:spacing w:val="0"/>
                <w:kern w:val="0"/>
                <w:sz w:val="24"/>
                <w:szCs w:val="24"/>
                <w:highlight w:val="none"/>
                <w:lang w:eastAsia="zh-CN"/>
              </w:rPr>
              <w:t>食品售卖、贮存场所等应具有合理的区域设置、设施设备布局以及相应的操作流程，将食品售卖场所、贮存场所与生活区隔离开，避免食品接触有毒物、不洁物，防止交叉污染。</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4"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5.2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保持场所环境整洁卫生。有良好的通风、排气装置，并避免日光直接照射。地面硬化，平坦防滑并易于清洁消毒，有适当措施防止积水、积霜。</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5.3</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食品售卖、贮存等场所未设在易受到污染区域，距离粪坑、污水池、暴露垃圾场（站）、旱厕等污染源25米以上。</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5.4</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食品分类分架、离墙离地放置，未将食品挤压堆放，能有效防止虫害隐匿、利于空气流通。食品与</w:t>
            </w:r>
            <w:r>
              <w:rPr>
                <w:rFonts w:hint="eastAsia" w:ascii="仿宋_GB2312" w:hAnsi="仿宋_GB2312" w:eastAsia="仿宋_GB2312" w:cs="仿宋_GB2312"/>
                <w:color w:val="auto"/>
                <w:spacing w:val="0"/>
                <w:kern w:val="0"/>
                <w:sz w:val="24"/>
                <w:szCs w:val="24"/>
                <w:highlight w:val="none"/>
                <w:lang w:eastAsia="zh-CN"/>
              </w:rPr>
              <w:t>墙壁、</w:t>
            </w:r>
            <w:r>
              <w:rPr>
                <w:rFonts w:hint="eastAsia" w:ascii="仿宋_GB2312" w:hAnsi="仿宋_GB2312" w:eastAsia="仿宋_GB2312" w:cs="仿宋_GB2312"/>
                <w:color w:val="auto"/>
                <w:spacing w:val="0"/>
                <w:kern w:val="0"/>
                <w:sz w:val="24"/>
                <w:szCs w:val="24"/>
                <w:highlight w:val="none"/>
              </w:rPr>
              <w:t>地面间距不少于10cm</w:t>
            </w:r>
            <w:r>
              <w:rPr>
                <w:rFonts w:hint="eastAsia" w:ascii="仿宋_GB2312" w:hAnsi="仿宋_GB2312" w:eastAsia="仿宋_GB2312" w:cs="仿宋_GB2312"/>
                <w:color w:val="auto"/>
                <w:spacing w:val="0"/>
                <w:kern w:val="0"/>
                <w:sz w:val="24"/>
                <w:szCs w:val="24"/>
                <w:highlight w:val="none"/>
                <w:lang w:eastAsia="zh-CN"/>
              </w:rPr>
              <w:t>。</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5"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6.设施设备</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6.1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具有与销售的食品品种、数量相适应的设施设备，配备相适应的消毒、更衣、盥洗、采光、照明、通风、防腐、防尘、防蝇、防鼠、防虫、洗涤以及处理废水、存放垃圾和废弃物的设施设备。</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6.2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设施设备定期清洁、校准、维护，能够持续有效运行。</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9"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6.3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配备设计合理、防止渗漏、易于清洁的废弃物存放专用设施，必要时在适当地点设置废弃物临时存放设施，废弃物存放设施和容器标识清晰并及时处理。</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6.4</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用水符合国家规定的生活饮用水卫生标准。</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6.5</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使用的洗涤剂、消毒剂对人体安全、无害。</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0" w:hRule="atLeast"/>
          <w:jc w:val="center"/>
        </w:trPr>
        <w:tc>
          <w:tcPr>
            <w:tcW w:w="1443"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7.进货查验情况</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*7.1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rPr>
              <w:t>查验食品供货者的许可证</w:t>
            </w:r>
            <w:r>
              <w:rPr>
                <w:rFonts w:hint="eastAsia" w:ascii="仿宋_GB2312" w:hAnsi="仿宋_GB2312" w:eastAsia="仿宋_GB2312" w:cs="仿宋_GB2312"/>
                <w:color w:val="auto"/>
                <w:spacing w:val="0"/>
                <w:kern w:val="0"/>
                <w:sz w:val="24"/>
                <w:szCs w:val="24"/>
                <w:highlight w:val="none"/>
                <w:lang w:eastAsia="zh-CN"/>
              </w:rPr>
              <w:t>（或备案信息采集表）</w:t>
            </w:r>
            <w:r>
              <w:rPr>
                <w:rFonts w:hint="eastAsia" w:ascii="仿宋_GB2312" w:hAnsi="仿宋_GB2312" w:eastAsia="仿宋_GB2312" w:cs="仿宋_GB2312"/>
                <w:color w:val="auto"/>
                <w:spacing w:val="0"/>
                <w:kern w:val="0"/>
                <w:sz w:val="24"/>
                <w:szCs w:val="24"/>
                <w:highlight w:val="none"/>
              </w:rPr>
              <w:t>和食品出厂检验合格证或其他合格证明，也可以通过省级部门食品安全信息追溯系统及时接收确认供货者推送的追溯信息。记录和凭证保存期限不少于产品保质期满后六个月；没有明确保质期的，保存期限不少于二年（从进货日起计）</w:t>
            </w:r>
            <w:r>
              <w:rPr>
                <w:rFonts w:hint="eastAsia" w:ascii="仿宋_GB2312" w:hAnsi="仿宋_GB2312" w:eastAsia="仿宋_GB2312" w:cs="仿宋_GB2312"/>
                <w:color w:val="auto"/>
                <w:spacing w:val="0"/>
                <w:kern w:val="0"/>
                <w:sz w:val="24"/>
                <w:szCs w:val="24"/>
                <w:highlight w:val="none"/>
                <w:lang w:eastAsia="zh-CN"/>
              </w:rPr>
              <w:t>。</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r>
              <w:rPr>
                <w:rFonts w:hint="eastAsia" w:ascii="仿宋_GB2312" w:hAnsi="仿宋_GB2312" w:eastAsia="仿宋_GB2312" w:cs="仿宋_GB2312"/>
                <w:b/>
                <w:bCs/>
                <w:color w:val="auto"/>
                <w:spacing w:val="0"/>
                <w:kern w:val="0"/>
                <w:sz w:val="24"/>
                <w:szCs w:val="24"/>
                <w:highlight w:val="none"/>
                <w:lang w:val="en-US" w:eastAsia="zh-CN"/>
              </w:rPr>
              <w:t>7.进货查验情况</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7.2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查验所采购食品、食品添加剂的感官性状等质量安全状况。</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8"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*7.3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预包装食品包装上有标签。标签标明的内容符合法律、法规以及食品安全标准规定的各类事项。</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5"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7.4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标签、说明书清楚、明显，生产日期、保质期等事项显著标注，容易辨识，转基因食品按照规定显著标示，经电离辐射线或电离能量处理过的食品，在食品名称附近标示“辐照食品”。</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35"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*7.5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lang w:eastAsia="zh-CN"/>
              </w:rPr>
              <w:t>标签、说明书</w:t>
            </w:r>
            <w:r>
              <w:rPr>
                <w:rFonts w:hint="eastAsia" w:ascii="仿宋_GB2312" w:hAnsi="仿宋_GB2312" w:eastAsia="仿宋_GB2312" w:cs="仿宋_GB2312"/>
                <w:color w:val="auto"/>
                <w:spacing w:val="0"/>
                <w:kern w:val="0"/>
                <w:sz w:val="24"/>
                <w:szCs w:val="24"/>
                <w:highlight w:val="none"/>
              </w:rPr>
              <w:t>未发现法律法规规定的禁止行为：</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1.标签、说明书有虚假内容，涉及疾病预防、治疗功能；</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2.食品和食品添加剂与其标签、说明书的内容不符；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3.保健食品之外的食品的标签、说明书声称具有保健功能；</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4.进口的预包装食品、食品添加剂没有中文标签、中文说明书或者标签、说明书不符合法律法规标准相关规定。</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0.8</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9"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8.食品售卖管理</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*8.1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普通食品未与特殊食品、药品混放销售</w:t>
            </w:r>
            <w:r>
              <w:rPr>
                <w:rFonts w:hint="eastAsia" w:ascii="仿宋_GB2312" w:hAnsi="仿宋_GB2312" w:eastAsia="仿宋_GB2312" w:cs="仿宋_GB2312"/>
                <w:color w:val="auto"/>
                <w:spacing w:val="0"/>
                <w:kern w:val="0"/>
                <w:sz w:val="24"/>
                <w:szCs w:val="24"/>
                <w:highlight w:val="none"/>
                <w:lang w:eastAsia="zh-CN"/>
              </w:rPr>
              <w:t>，</w:t>
            </w:r>
            <w:r>
              <w:rPr>
                <w:rFonts w:hint="eastAsia" w:ascii="仿宋_GB2312" w:hAnsi="仿宋_GB2312" w:eastAsia="仿宋_GB2312" w:cs="仿宋_GB2312"/>
                <w:color w:val="auto"/>
                <w:spacing w:val="0"/>
                <w:kern w:val="0"/>
                <w:sz w:val="24"/>
                <w:szCs w:val="24"/>
                <w:highlight w:val="none"/>
              </w:rPr>
              <w:t>与特殊食品之间、与药品之间有明显的隔离标识或保持一定距离摆放。</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*8.2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食品与非食品、生食与熟食的盛放容器未混用。</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*8.3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临近保质期的食品分类管理，作特别标示或者集中陈列摆放。</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8.4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在销售场所显著位置设置不向未成年人销售酒的标志，未向未成年人销售酒。</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59"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8.5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销售食品盲盒的，特别是临近保质期食品以盲盒形式销售的，以产品标注、在醒目位置进行消费提示等方式，告知消费者盲盒中的食品名称、成分或配料表、贮存条件、生产日期、保质期、生产者名称等食品安全基本信息。</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0"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r>
              <w:rPr>
                <w:rFonts w:hint="eastAsia" w:ascii="仿宋_GB2312" w:hAnsi="仿宋_GB2312" w:eastAsia="仿宋_GB2312" w:cs="仿宋_GB2312"/>
                <w:b/>
                <w:bCs/>
                <w:color w:val="auto"/>
                <w:spacing w:val="0"/>
                <w:kern w:val="0"/>
                <w:sz w:val="24"/>
                <w:szCs w:val="24"/>
                <w:highlight w:val="none"/>
                <w:lang w:val="en-US" w:eastAsia="zh-CN"/>
              </w:rPr>
              <w:t>8.食品售卖管理</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*8.6</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食品广告或宣传的内容真实合法。未发现含有虚假内容，未发现涉及疾病预防、散布虚假食品安全信息。</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*8.7</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未发现利用包括会议、讲座、健康咨询在内的任何方式对食品进行虚假宣传；未发现编造、散布虚假食品安全信息。</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38"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*8.8</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未发现法律法规禁止销售的食品：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1.腐败变质、油脂酸败、霉变生虫、污秽不洁、混有异物、掺假掺杂或者感官性状异常的食品、食品添加剂；</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2.标注虚假生产日期、保质期或者超过保质期的食品；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3.无标签的预包装食品、食品添加剂；</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4.超范围、超限量使用食品添加剂的食品；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5.</w:t>
            </w:r>
            <w:r>
              <w:rPr>
                <w:rFonts w:hint="eastAsia" w:ascii="仿宋_GB2312" w:hAnsi="仿宋_GB2312" w:eastAsia="仿宋_GB2312" w:cs="仿宋_GB2312"/>
                <w:color w:val="auto"/>
                <w:spacing w:val="-6"/>
                <w:kern w:val="0"/>
                <w:sz w:val="24"/>
                <w:szCs w:val="24"/>
                <w:highlight w:val="none"/>
                <w:lang w:val="en-US" w:eastAsia="zh-CN" w:bidi="ar-SA"/>
              </w:rPr>
              <w:t>营养成分不符合食品安全标准的专供婴幼儿和其他特定人群的主辅食品；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6.用非食品原料生产的食品或者添加食品添加剂以外的化学物质和其他可能危害人体健康物质的食品，或者用回收食品作为原料生产的食品；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7.病死、毒死或者死因不明的禽、畜、兽、水产动物肉类及其制品；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8.未按规定进行检疫或者检疫不合格的肉类，或者未经检验或者检验不合格的肉类制品；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9.被包装材料、容器、运输工具等污染的食品、食品添加剂；</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10.致病性微生物，农药残留、兽药残留、生物毒素、重金属等污染物质以及其他危害人体健康的物质含量超过食品安全标准限量的食品、食品添加剂、食品相关产品；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11.用超过保质期的食品原料、食品添加剂生产的食品、食品添加剂；</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12.</w:t>
            </w:r>
            <w:r>
              <w:rPr>
                <w:rFonts w:hint="eastAsia" w:ascii="仿宋_GB2312" w:hAnsi="仿宋_GB2312" w:eastAsia="仿宋_GB2312" w:cs="仿宋_GB2312"/>
                <w:color w:val="auto"/>
                <w:spacing w:val="-6"/>
                <w:kern w:val="0"/>
                <w:sz w:val="24"/>
                <w:szCs w:val="24"/>
                <w:highlight w:val="none"/>
                <w:lang w:val="en-US" w:eastAsia="zh-CN" w:bidi="ar-SA"/>
              </w:rPr>
              <w:t>国家为防病等特殊需要明令禁止销售的食品以及其他禁止销售的食品；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13.含金银箔粉食品；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14.标示为“配制酱油”“配制食醋”的产品；</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15.无实体门店的入网食品销售者销售制售类食品以及散装熟食；</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16.向未成年人销售酒类；</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17.其他不符合法律、法规或者食品安全标准的食品、食品添加剂。</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3.4</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9.贮存过程控制</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9.1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食品贮存设专门区域。</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44"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*9.2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食品与非食品、生食与熟食有适当的分隔措施，有固定的存放位置和标识。贮存容器、工具、设备安全无害，保持清洁，未混用。未与有毒有害物品同库存放。</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9"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9.3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清洁剂、消毒剂、杀虫剂等分别包装，明确标识，并与食品及包装材料分隔放置。</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9"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*9.4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遵循先进先出的原则，定期检查库存食品，及时处理变质或超过保质期的食品。</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0.8</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13"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9.5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外设仓库</w:t>
            </w:r>
            <w:r>
              <w:rPr>
                <w:rFonts w:hint="eastAsia" w:ascii="仿宋_GB2312" w:hAnsi="仿宋_GB2312" w:eastAsia="仿宋_GB2312" w:cs="仿宋_GB2312"/>
                <w:color w:val="auto"/>
                <w:spacing w:val="0"/>
                <w:kern w:val="0"/>
                <w:sz w:val="24"/>
                <w:szCs w:val="24"/>
                <w:highlight w:val="none"/>
                <w:lang w:eastAsia="zh-CN"/>
              </w:rPr>
              <w:t>（包括自有和租赁，下同）</w:t>
            </w:r>
            <w:r>
              <w:rPr>
                <w:rFonts w:hint="eastAsia" w:ascii="仿宋_GB2312" w:hAnsi="仿宋_GB2312" w:eastAsia="仿宋_GB2312" w:cs="仿宋_GB2312"/>
                <w:color w:val="auto"/>
                <w:spacing w:val="0"/>
                <w:kern w:val="0"/>
                <w:sz w:val="24"/>
                <w:szCs w:val="24"/>
                <w:highlight w:val="none"/>
              </w:rPr>
              <w:t>地址在开展相关经营活动之日起10个工作日内向发证地市场监督管理部门报告。外设仓库地址发生变化的，在变化后10个工作日内向原发证的市场监督管理部门报告。</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2"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10.日常监督检查结果处置</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*10.1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在经营场所醒目位置张贴或者公开展示监督检查结果记录表，并保持至下次监督检查。有条件的可以通过电子屏幕等信息化方式向消费者展示监督检查结果记录表。</w:t>
            </w:r>
          </w:p>
        </w:tc>
        <w:tc>
          <w:tcPr>
            <w:tcW w:w="1494"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10.2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对市场监督管理部门在监督检查中发现的风险隐患，按照市场监督管理部门要求，立即采取措施，进行整改，消除隐患。</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10.3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有发生食品安全事故潜在风险的，立即停止食品经营活动。</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0"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10.4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对市场监督管理部门在监督检查中发现食品不符合食品安全法律、法规、规章和食品安全标准的，及时追查相关食品的来源和流向，查明原因、控制风险，并根据需要通报相关市场监督管理部门。</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173" w:type="dxa"/>
            <w:gridSpan w:val="7"/>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黑体" w:hAnsi="黑体" w:eastAsia="黑体" w:cs="黑体"/>
                <w:b w:val="0"/>
                <w:bCs w:val="0"/>
                <w:color w:val="auto"/>
                <w:spacing w:val="0"/>
                <w:kern w:val="0"/>
                <w:sz w:val="24"/>
                <w:szCs w:val="24"/>
                <w:highlight w:val="none"/>
                <w:lang w:val="en-US" w:eastAsia="zh-CN"/>
              </w:rPr>
              <w:t>食品其他检查项目（110项，25分；其中：重点项42项，一般项68项）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r>
              <w:rPr>
                <w:rFonts w:hint="eastAsia" w:ascii="仿宋_GB2312" w:hAnsi="仿宋_GB2312" w:eastAsia="仿宋_GB2312" w:cs="仿宋_GB2312"/>
                <w:b/>
                <w:bCs/>
                <w:color w:val="auto"/>
                <w:spacing w:val="0"/>
                <w:kern w:val="0"/>
                <w:sz w:val="24"/>
                <w:szCs w:val="24"/>
                <w:highlight w:val="none"/>
                <w:u w:val="none" w:color="FF0000"/>
                <w:lang w:val="en-US" w:eastAsia="zh-CN"/>
              </w:rPr>
              <w:t>11.冷藏、冷冻食品</w:t>
            </w: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*11.1</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具有冷藏冷冻食品全程温度记录制度。</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0.2</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11.2</w:t>
            </w:r>
          </w:p>
        </w:tc>
        <w:tc>
          <w:tcPr>
            <w:tcW w:w="7732" w:type="dxa"/>
            <w:shd w:val="clear" w:color="auto" w:fill="auto"/>
            <w:vAlign w:val="center"/>
          </w:tcPr>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eastAsia="zh-CN"/>
              </w:rPr>
              <w:t>配备与经营品种、数量相适应的冷藏、冷冻等设备设施。</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3"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*11.3</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color w:val="auto"/>
                <w:spacing w:val="0"/>
                <w:kern w:val="0"/>
                <w:sz w:val="24"/>
                <w:szCs w:val="24"/>
                <w:highlight w:val="none"/>
                <w:u w:val="none" w:color="FF0000"/>
              </w:rPr>
              <w:t>按照标签标示或相关标准的温度等要求售卖、贮存、运输冷藏冷冻食品及其他有温度、湿度等要求的食品。</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0.2</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18"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11.4</w:t>
            </w:r>
          </w:p>
        </w:tc>
        <w:tc>
          <w:tcPr>
            <w:tcW w:w="7732" w:type="dxa"/>
            <w:shd w:val="clear" w:color="auto" w:fill="auto"/>
            <w:vAlign w:val="center"/>
          </w:tcPr>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温湿度控制符合要求：</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1.需冷冻的食品运输过程温度、贮存环境温度不高于－18℃;</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2.需冷藏的食品运输过程温度、贮存环境温度为0℃</w:t>
            </w:r>
            <w:r>
              <w:rPr>
                <w:rFonts w:hint="eastAsia" w:ascii="仿宋_GB2312" w:hAnsi="仿宋_GB2312" w:eastAsia="仿宋_GB2312" w:cs="仿宋_GB2312"/>
                <w:i w:val="0"/>
                <w:iCs w:val="0"/>
                <w:caps w:val="0"/>
                <w:color w:val="auto"/>
                <w:spacing w:val="0"/>
                <w:kern w:val="0"/>
                <w:sz w:val="24"/>
                <w:szCs w:val="24"/>
                <w:shd w:val="clear" w:fill="FFFFFF"/>
              </w:rPr>
              <w:t>~</w:t>
            </w:r>
            <w:r>
              <w:rPr>
                <w:rFonts w:hint="eastAsia" w:ascii="仿宋_GB2312" w:hAnsi="仿宋_GB2312" w:eastAsia="仿宋_GB2312" w:cs="仿宋_GB2312"/>
                <w:color w:val="auto"/>
                <w:spacing w:val="0"/>
                <w:kern w:val="0"/>
                <w:sz w:val="24"/>
                <w:szCs w:val="24"/>
                <w:highlight w:val="none"/>
                <w:lang w:eastAsia="zh-CN"/>
              </w:rPr>
              <w:t>10℃;</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3.对有特殊温度要求的，或标签标识上标明温度条件的食品，在售卖、贮存、运输等过程中满足相应的温度要求；</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eastAsia="zh-CN"/>
              </w:rPr>
              <w:t>4.对有湿度要求的食品，满足相应的湿度要求。</w:t>
            </w:r>
            <w:r>
              <w:rPr>
                <w:rFonts w:hint="eastAsia" w:ascii="仿宋_GB2312" w:hAnsi="仿宋_GB2312" w:eastAsia="仿宋_GB2312" w:cs="仿宋_GB2312"/>
                <w:color w:val="auto"/>
                <w:spacing w:val="0"/>
                <w:kern w:val="0"/>
                <w:sz w:val="24"/>
                <w:szCs w:val="24"/>
                <w:highlight w:val="none"/>
                <w:lang w:eastAsia="zh-CN"/>
              </w:rPr>
              <w:tab/>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0.8</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11.5</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u w:val="none" w:color="FF0000"/>
              </w:rPr>
              <w:t>冷藏冷冻食品与库房墙壁</w:t>
            </w:r>
            <w:r>
              <w:rPr>
                <w:rFonts w:hint="eastAsia" w:ascii="仿宋_GB2312" w:hAnsi="仿宋_GB2312" w:eastAsia="仿宋_GB2312" w:cs="仿宋_GB2312"/>
                <w:color w:val="auto"/>
                <w:spacing w:val="0"/>
                <w:kern w:val="0"/>
                <w:sz w:val="24"/>
                <w:szCs w:val="24"/>
                <w:highlight w:val="none"/>
                <w:u w:val="none" w:color="FF0000"/>
                <w:lang w:eastAsia="zh-CN"/>
              </w:rPr>
              <w:t>、地面</w:t>
            </w:r>
            <w:r>
              <w:rPr>
                <w:rFonts w:hint="eastAsia" w:ascii="仿宋_GB2312" w:hAnsi="仿宋_GB2312" w:eastAsia="仿宋_GB2312" w:cs="仿宋_GB2312"/>
                <w:color w:val="auto"/>
                <w:spacing w:val="0"/>
                <w:kern w:val="0"/>
                <w:sz w:val="24"/>
                <w:szCs w:val="24"/>
                <w:highlight w:val="none"/>
                <w:u w:val="none" w:color="FF0000"/>
              </w:rPr>
              <w:t>间距不少于10cm。</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11.6</w:t>
            </w:r>
          </w:p>
        </w:tc>
        <w:tc>
          <w:tcPr>
            <w:tcW w:w="7732" w:type="dxa"/>
            <w:shd w:val="clear" w:color="auto" w:fill="auto"/>
            <w:vAlign w:val="center"/>
          </w:tcPr>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eastAsia="zh-CN"/>
              </w:rPr>
              <w:t>对有温度、湿度等特殊要求的食品，未以盲盒形式销售。</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0" w:hRule="atLeast"/>
          <w:jc w:val="center"/>
        </w:trPr>
        <w:tc>
          <w:tcPr>
            <w:tcW w:w="1443" w:type="dxa"/>
            <w:vMerge w:val="restart"/>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12.</w:t>
            </w:r>
            <w:r>
              <w:rPr>
                <w:rFonts w:hint="eastAsia" w:ascii="仿宋_GB2312" w:hAnsi="仿宋_GB2312" w:eastAsia="仿宋_GB2312" w:cs="仿宋_GB2312"/>
                <w:b/>
                <w:bCs/>
                <w:color w:val="auto"/>
                <w:spacing w:val="0"/>
                <w:kern w:val="0"/>
                <w:sz w:val="24"/>
                <w:szCs w:val="24"/>
                <w:highlight w:val="none"/>
              </w:rPr>
              <w:t>散装食品</w:t>
            </w: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*12.1</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eastAsia="zh-CN"/>
              </w:rPr>
              <w:t>在销售</w:t>
            </w:r>
            <w:r>
              <w:rPr>
                <w:rFonts w:hint="eastAsia" w:ascii="仿宋_GB2312" w:hAnsi="仿宋_GB2312" w:eastAsia="仿宋_GB2312" w:cs="仿宋_GB2312"/>
                <w:color w:val="auto"/>
                <w:spacing w:val="0"/>
                <w:kern w:val="0"/>
                <w:sz w:val="24"/>
                <w:szCs w:val="24"/>
                <w:highlight w:val="none"/>
              </w:rPr>
              <w:t>散装食品的容器、外包装上标明食品的名称、成分或配料表、生产日期或生产批号、保质期及生产经营者名称、地址、联系方式等内容。标注的生产日期与生产者在出厂时标注的生产日期一致。</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0.4</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44"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*12.2</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直接入口的散装食品有防尘防蝇等设施，使用加盖或非敞开式容器盛放。直接接触食品的工具、</w:t>
            </w:r>
            <w:r>
              <w:rPr>
                <w:rFonts w:hint="eastAsia" w:ascii="仿宋_GB2312" w:hAnsi="仿宋_GB2312" w:eastAsia="仿宋_GB2312" w:cs="仿宋_GB2312"/>
                <w:color w:val="auto"/>
                <w:spacing w:val="0"/>
                <w:kern w:val="0"/>
                <w:sz w:val="24"/>
                <w:szCs w:val="24"/>
                <w:highlight w:val="none"/>
                <w:lang w:eastAsia="zh-CN"/>
              </w:rPr>
              <w:t>设备、</w:t>
            </w:r>
            <w:r>
              <w:rPr>
                <w:rFonts w:hint="eastAsia" w:ascii="仿宋_GB2312" w:hAnsi="仿宋_GB2312" w:eastAsia="仿宋_GB2312" w:cs="仿宋_GB2312"/>
                <w:color w:val="auto"/>
                <w:spacing w:val="0"/>
                <w:kern w:val="0"/>
                <w:sz w:val="24"/>
                <w:szCs w:val="24"/>
                <w:highlight w:val="none"/>
              </w:rPr>
              <w:t>容器和包装材料等具有符合食品安全标准的产品合格证明</w:t>
            </w:r>
            <w:r>
              <w:rPr>
                <w:rFonts w:hint="eastAsia" w:ascii="仿宋_GB2312" w:hAnsi="仿宋_GB2312" w:eastAsia="仿宋_GB2312" w:cs="仿宋_GB2312"/>
                <w:color w:val="auto"/>
                <w:spacing w:val="0"/>
                <w:kern w:val="0"/>
                <w:sz w:val="24"/>
                <w:szCs w:val="24"/>
                <w:highlight w:val="none"/>
                <w:lang w:eastAsia="zh-CN"/>
              </w:rPr>
              <w:t>。非一次性使用的物品在使用前后应进行清洗和消毒，并保持清洁状态。</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0.3</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6"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12.3</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散装食品售货工具定时消毒，消毒后的散装食品售货工具应放入防尘、防蝇、防污染的专用密闭保洁柜内或存放于专用的散装食品售货工具存放容器内，未直接放置在散装食品容器内或容器上。</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443" w:type="dxa"/>
            <w:vMerge w:val="restart"/>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12.</w:t>
            </w:r>
            <w:r>
              <w:rPr>
                <w:rFonts w:hint="eastAsia" w:ascii="仿宋_GB2312" w:hAnsi="仿宋_GB2312" w:eastAsia="仿宋_GB2312" w:cs="仿宋_GB2312"/>
                <w:b/>
                <w:bCs/>
                <w:color w:val="auto"/>
                <w:spacing w:val="0"/>
                <w:kern w:val="0"/>
                <w:sz w:val="24"/>
                <w:szCs w:val="24"/>
                <w:highlight w:val="none"/>
              </w:rPr>
              <w:t>散装食品</w:t>
            </w: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*12.4</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包装或分装的食品，未更改原有的生产日期，未延长保质期。食品包装材料和容器无毒、无害、无异味，符合国家相关法律法规及标准的要求。</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0.4</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6"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*12.5</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在散装食品贮存位置标明食品的名称、生产日期或者生产批号、保质期、生产者名称及联系方式等内容。</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0.4</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6"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12.6</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6"/>
                <w:kern w:val="0"/>
                <w:sz w:val="24"/>
                <w:szCs w:val="24"/>
                <w:highlight w:val="none"/>
              </w:rPr>
              <w:t>需在裸露食品的正上方安装照明设施的，使用安全型照明设施或采取防护措施。未使用对食品的真实色泽等感官性质造成明显改变的照明等设施。</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00"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12.7</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执行接触直接入口食品工作人员的健康管理措施：</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val="en-US" w:eastAsia="zh-CN"/>
              </w:rPr>
              <w:t>1.</w:t>
            </w:r>
            <w:r>
              <w:rPr>
                <w:rFonts w:hint="eastAsia" w:ascii="仿宋_GB2312" w:hAnsi="仿宋_GB2312" w:eastAsia="仿宋_GB2312" w:cs="仿宋_GB2312"/>
                <w:color w:val="auto"/>
                <w:spacing w:val="0"/>
                <w:kern w:val="0"/>
                <w:sz w:val="24"/>
                <w:szCs w:val="24"/>
                <w:highlight w:val="none"/>
                <w:lang w:eastAsia="zh-CN"/>
              </w:rPr>
              <w:t>从事接触直接入口食品工作的人员应当每年进行健康体检，取得健康证明后方可上岗工作；</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2.</w:t>
            </w:r>
            <w:r>
              <w:rPr>
                <w:rFonts w:hint="eastAsia" w:ascii="仿宋_GB2312" w:hAnsi="仿宋_GB2312" w:eastAsia="仿宋_GB2312" w:cs="仿宋_GB2312"/>
                <w:color w:val="auto"/>
                <w:spacing w:val="0"/>
                <w:kern w:val="0"/>
                <w:sz w:val="24"/>
                <w:szCs w:val="24"/>
                <w:highlight w:val="none"/>
                <w:lang w:eastAsia="zh-CN"/>
              </w:rPr>
              <w:t>患有国务院卫生行政部门规定的有碍食品安全疾病的人员，未从事接触直接入口食品的工作。</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13.食用农产品</w:t>
            </w: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13.1</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rPr>
              <w:t>具有食用农产品进货查验记录制度。</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13.2</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color w:val="auto"/>
                <w:spacing w:val="0"/>
                <w:kern w:val="0"/>
                <w:sz w:val="24"/>
                <w:szCs w:val="24"/>
                <w:highlight w:val="none"/>
                <w:u w:val="none" w:color="FF0000"/>
              </w:rPr>
              <w:t>如实记录所采购的食用农产品的名称、数量、进货日期以及供货者名称、地址、联系方式等内容，并保存相关凭证。记录和凭证保存期限不少于六个月。</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0.1</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*13.3</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color w:val="auto"/>
                <w:spacing w:val="0"/>
                <w:kern w:val="0"/>
                <w:sz w:val="24"/>
                <w:szCs w:val="24"/>
                <w:highlight w:val="none"/>
                <w:u w:val="none" w:color="FF0000"/>
              </w:rPr>
              <w:t>经营的肉类按规定具有检疫合格证明和肉品品质检验合格证明。</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color w:val="auto"/>
                <w:spacing w:val="0"/>
                <w:kern w:val="0"/>
                <w:sz w:val="24"/>
                <w:szCs w:val="24"/>
                <w:highlight w:val="none"/>
                <w:u w:val="none" w:color="FF0000"/>
                <w:lang w:val="en-US" w:eastAsia="zh-CN" w:bidi="ar-SA"/>
              </w:rPr>
              <w:t>0.4</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p>
        </w:tc>
        <w:tc>
          <w:tcPr>
            <w:tcW w:w="850"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3"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13.4</w:t>
            </w:r>
          </w:p>
        </w:tc>
        <w:tc>
          <w:tcPr>
            <w:tcW w:w="7732" w:type="dxa"/>
            <w:shd w:val="clear" w:color="auto" w:fill="auto"/>
            <w:vAlign w:val="center"/>
          </w:tcPr>
          <w:p>
            <w:pPr>
              <w:keepNext w:val="0"/>
              <w:keepLines w:val="0"/>
              <w:pageBreakBefore w:val="0"/>
              <w:widowControl/>
              <w:wordWrap/>
              <w:overflowPunct/>
              <w:topLinePunct w:val="0"/>
              <w:bidi w:val="0"/>
              <w:adjustRightInd w:val="0"/>
              <w:snapToGrid w:val="0"/>
              <w:spacing w:line="240" w:lineRule="auto"/>
              <w:rPr>
                <w:rFonts w:hint="eastAsia" w:ascii="仿宋_GB2312" w:hAnsi="仿宋_GB2312" w:eastAsia="仿宋_GB2312" w:cs="仿宋_GB2312"/>
                <w:color w:val="auto"/>
                <w:spacing w:val="0"/>
                <w:kern w:val="0"/>
                <w:sz w:val="24"/>
                <w:szCs w:val="24"/>
                <w:lang w:val="en-US" w:eastAsia="zh-CN" w:bidi="ar-SA"/>
              </w:rPr>
            </w:pPr>
            <w:r>
              <w:rPr>
                <w:rFonts w:hint="eastAsia" w:ascii="仿宋_GB2312" w:hAnsi="仿宋_GB2312" w:eastAsia="仿宋_GB2312" w:cs="仿宋_GB2312"/>
                <w:color w:val="auto"/>
                <w:spacing w:val="0"/>
                <w:kern w:val="0"/>
                <w:sz w:val="24"/>
                <w:szCs w:val="24"/>
                <w:highlight w:val="none"/>
                <w:lang w:val="en-US" w:eastAsia="zh-CN"/>
              </w:rPr>
              <w:t>销售生鲜食用农产品，不得使用对食用农产品的真实色泽等感官性状造成明显改变的照明等设施误导消费者对商品的感官认知。</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0.2</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13.5</w:t>
            </w:r>
          </w:p>
        </w:tc>
        <w:tc>
          <w:tcPr>
            <w:tcW w:w="7732" w:type="dxa"/>
            <w:shd w:val="clear" w:color="auto" w:fill="auto"/>
            <w:vAlign w:val="center"/>
          </w:tcPr>
          <w:p>
            <w:pPr>
              <w:keepNext w:val="0"/>
              <w:keepLines w:val="0"/>
              <w:pageBreakBefore w:val="0"/>
              <w:widowControl/>
              <w:wordWrap/>
              <w:overflowPunct/>
              <w:topLinePunct w:val="0"/>
              <w:bidi w:val="0"/>
              <w:adjustRightInd w:val="0"/>
              <w:snapToGrid w:val="0"/>
              <w:spacing w:line="240" w:lineRule="auto"/>
              <w:rPr>
                <w:rFonts w:hint="eastAsia" w:ascii="仿宋_GB2312" w:hAnsi="仿宋_GB2312" w:eastAsia="仿宋_GB2312" w:cs="仿宋_GB2312"/>
                <w:color w:val="auto"/>
                <w:spacing w:val="0"/>
                <w:kern w:val="0"/>
                <w:sz w:val="24"/>
                <w:szCs w:val="24"/>
                <w:lang w:val="en-US" w:eastAsia="zh-CN" w:bidi="ar-SA"/>
              </w:rPr>
            </w:pPr>
            <w:r>
              <w:rPr>
                <w:rFonts w:hint="eastAsia" w:ascii="仿宋_GB2312" w:hAnsi="仿宋_GB2312" w:eastAsia="仿宋_GB2312" w:cs="仿宋_GB2312"/>
                <w:i w:val="0"/>
                <w:caps w:val="0"/>
                <w:color w:val="auto"/>
                <w:spacing w:val="0"/>
                <w:kern w:val="0"/>
                <w:sz w:val="24"/>
                <w:szCs w:val="24"/>
                <w:highlight w:val="none"/>
                <w:shd w:val="clear" w:color="auto" w:fill="auto"/>
              </w:rPr>
              <w:t>包装、保鲜、贮存、运输中使用保鲜剂、防腐剂等食品添加剂和包装材料等食品相关产品，应当符合食品安全国家标准。</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0.2</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13.6</w:t>
            </w:r>
          </w:p>
        </w:tc>
        <w:tc>
          <w:tcPr>
            <w:tcW w:w="7732" w:type="dxa"/>
            <w:shd w:val="clear" w:color="auto" w:fill="auto"/>
            <w:vAlign w:val="center"/>
          </w:tcPr>
          <w:p>
            <w:pPr>
              <w:keepNext w:val="0"/>
              <w:keepLines w:val="0"/>
              <w:pageBreakBefore w:val="0"/>
              <w:widowControl/>
              <w:wordWrap/>
              <w:overflowPunct/>
              <w:topLinePunct w:val="0"/>
              <w:bidi w:val="0"/>
              <w:adjustRightInd w:val="0"/>
              <w:snapToGrid w:val="0"/>
              <w:spacing w:line="240" w:lineRule="auto"/>
              <w:rPr>
                <w:rFonts w:hint="eastAsia" w:ascii="仿宋_GB2312" w:hAnsi="仿宋_GB2312" w:eastAsia="仿宋_GB2312" w:cs="仿宋_GB2312"/>
                <w:color w:val="auto"/>
                <w:spacing w:val="0"/>
                <w:kern w:val="0"/>
                <w:sz w:val="24"/>
                <w:szCs w:val="24"/>
                <w:lang w:val="en-US" w:eastAsia="zh-CN" w:bidi="ar-SA"/>
              </w:rPr>
            </w:pPr>
            <w:r>
              <w:rPr>
                <w:rFonts w:hint="eastAsia" w:ascii="仿宋_GB2312" w:hAnsi="仿宋_GB2312" w:eastAsia="仿宋_GB2312" w:cs="仿宋_GB2312"/>
                <w:i w:val="0"/>
                <w:caps w:val="0"/>
                <w:color w:val="auto"/>
                <w:spacing w:val="0"/>
                <w:kern w:val="0"/>
                <w:sz w:val="24"/>
                <w:szCs w:val="24"/>
                <w:highlight w:val="none"/>
                <w:shd w:val="clear" w:color="auto" w:fill="FFFFFF"/>
              </w:rPr>
              <w:t>在销售场所明显位置或者带包装产品的包装上如实标明食用农产品的名称、产地、生产者或者销售者的名称或者姓名等信息。</w:t>
            </w:r>
            <w:r>
              <w:rPr>
                <w:rFonts w:hint="eastAsia" w:ascii="仿宋_GB2312" w:hAnsi="仿宋_GB2312" w:eastAsia="仿宋_GB2312" w:cs="仿宋_GB2312"/>
                <w:i w:val="0"/>
                <w:caps w:val="0"/>
                <w:color w:val="auto"/>
                <w:spacing w:val="0"/>
                <w:kern w:val="0"/>
                <w:sz w:val="24"/>
                <w:szCs w:val="24"/>
                <w:highlight w:val="none"/>
              </w:rPr>
              <w:t>产地应当具体到县（市、区），对保质期有要求的</w:t>
            </w:r>
            <w:r>
              <w:rPr>
                <w:rFonts w:hint="eastAsia" w:ascii="仿宋_GB2312" w:hAnsi="仿宋_GB2312" w:eastAsia="仿宋_GB2312" w:cs="仿宋_GB2312"/>
                <w:i w:val="0"/>
                <w:caps w:val="0"/>
                <w:color w:val="auto"/>
                <w:spacing w:val="0"/>
                <w:kern w:val="0"/>
                <w:sz w:val="24"/>
                <w:szCs w:val="24"/>
                <w:highlight w:val="none"/>
                <w:lang w:eastAsia="zh-CN"/>
              </w:rPr>
              <w:t>或</w:t>
            </w:r>
            <w:r>
              <w:rPr>
                <w:rFonts w:hint="eastAsia" w:ascii="仿宋_GB2312" w:hAnsi="仿宋_GB2312" w:eastAsia="仿宋_GB2312" w:cs="仿宋_GB2312"/>
                <w:i w:val="0"/>
                <w:caps w:val="0"/>
                <w:color w:val="auto"/>
                <w:spacing w:val="0"/>
                <w:kern w:val="0"/>
                <w:sz w:val="24"/>
                <w:szCs w:val="24"/>
                <w:highlight w:val="none"/>
                <w:shd w:val="clear" w:color="auto" w:fill="auto"/>
              </w:rPr>
              <w:t>保质期与贮存条件有关的</w:t>
            </w:r>
            <w:r>
              <w:rPr>
                <w:rFonts w:hint="eastAsia" w:ascii="仿宋_GB2312" w:hAnsi="仿宋_GB2312" w:eastAsia="仿宋_GB2312" w:cs="仿宋_GB2312"/>
                <w:i w:val="0"/>
                <w:caps w:val="0"/>
                <w:color w:val="auto"/>
                <w:spacing w:val="0"/>
                <w:kern w:val="0"/>
                <w:sz w:val="24"/>
                <w:szCs w:val="24"/>
                <w:highlight w:val="none"/>
              </w:rPr>
              <w:t>，应予标明；在包装、保鲜、贮存中使用食品添加剂的，应标明食品添加剂名称。</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0.2</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03" w:hRule="atLeast"/>
          <w:jc w:val="center"/>
        </w:trPr>
        <w:tc>
          <w:tcPr>
            <w:tcW w:w="1443" w:type="dxa"/>
            <w:vMerge w:val="restart"/>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13.食用农产品</w:t>
            </w: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13.7</w:t>
            </w:r>
          </w:p>
        </w:tc>
        <w:tc>
          <w:tcPr>
            <w:tcW w:w="7732" w:type="dxa"/>
            <w:shd w:val="clear" w:color="auto" w:fill="auto"/>
            <w:vAlign w:val="center"/>
          </w:tcPr>
          <w:p>
            <w:pPr>
              <w:keepNext w:val="0"/>
              <w:keepLines w:val="0"/>
              <w:pageBreakBefore w:val="0"/>
              <w:widowControl/>
              <w:wordWrap/>
              <w:overflowPunct/>
              <w:topLinePunct w:val="0"/>
              <w:bidi w:val="0"/>
              <w:adjustRightInd w:val="0"/>
              <w:snapToGrid w:val="0"/>
              <w:spacing w:line="240" w:lineRule="auto"/>
              <w:rPr>
                <w:rFonts w:hint="eastAsia" w:ascii="仿宋_GB2312" w:hAnsi="仿宋_GB2312" w:eastAsia="仿宋_GB2312" w:cs="仿宋_GB2312"/>
                <w:color w:val="auto"/>
                <w:spacing w:val="0"/>
                <w:kern w:val="0"/>
                <w:sz w:val="24"/>
                <w:szCs w:val="24"/>
                <w:lang w:val="en-US" w:eastAsia="zh-CN" w:bidi="ar-SA"/>
              </w:rPr>
            </w:pPr>
            <w:r>
              <w:rPr>
                <w:rFonts w:hint="eastAsia" w:ascii="仿宋_GB2312" w:hAnsi="仿宋_GB2312" w:eastAsia="仿宋_GB2312" w:cs="仿宋_GB2312"/>
                <w:color w:val="auto"/>
                <w:spacing w:val="0"/>
                <w:kern w:val="0"/>
                <w:sz w:val="24"/>
                <w:szCs w:val="24"/>
                <w:highlight w:val="none"/>
                <w:lang w:eastAsia="zh-CN"/>
              </w:rPr>
              <w:t>进口鲜冻肉类产品的外包装上应当以中文标明规格、产地、目的地、生产日期、保质期、贮存条件等内容；分装销售的进口食用农产品，应当在包装上保留原进口食用农产品全部信息以及分装企业、分装时间、地点、保质期等信息。</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0.2</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6"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u w:val="none" w:color="FF0000"/>
                <w:lang w:val="en-US" w:eastAsia="zh-CN" w:bidi="ar-SA"/>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*13.8</w:t>
            </w:r>
          </w:p>
        </w:tc>
        <w:tc>
          <w:tcPr>
            <w:tcW w:w="7732" w:type="dxa"/>
            <w:shd w:val="clear" w:color="auto" w:fill="auto"/>
            <w:vAlign w:val="center"/>
          </w:tcPr>
          <w:p>
            <w:pPr>
              <w:keepNext w:val="0"/>
              <w:keepLines w:val="0"/>
              <w:pageBreakBefore w:val="0"/>
              <w:widowControl/>
              <w:wordWrap/>
              <w:overflowPunct/>
              <w:topLinePunct w:val="0"/>
              <w:bidi w:val="0"/>
              <w:adjustRightInd w:val="0"/>
              <w:snapToGrid w:val="0"/>
              <w:spacing w:line="240" w:lineRule="auto"/>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eastAsia="zh-CN"/>
              </w:rPr>
              <w:t>销售即食食用农产品应如实标明具体制作时间，应采取有效措施做好食品安全防护，防止交叉污染。</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u w:val="none" w:color="FF0000"/>
                <w:lang w:val="en-US" w:eastAsia="zh-CN" w:bidi="ar-SA"/>
              </w:rPr>
              <w:t>0.4</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p>
        </w:tc>
        <w:tc>
          <w:tcPr>
            <w:tcW w:w="850"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29"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r>
              <w:rPr>
                <w:rFonts w:hint="eastAsia" w:ascii="仿宋_GB2312" w:hAnsi="仿宋_GB2312" w:eastAsia="仿宋_GB2312" w:cs="仿宋_GB2312"/>
                <w:b/>
                <w:bCs/>
                <w:color w:val="auto"/>
                <w:spacing w:val="0"/>
                <w:kern w:val="0"/>
                <w:sz w:val="24"/>
                <w:szCs w:val="24"/>
                <w:highlight w:val="none"/>
                <w:u w:val="none" w:color="FF0000"/>
                <w:lang w:val="en-US" w:eastAsia="zh-CN"/>
              </w:rPr>
              <w:t>14.食盐</w:t>
            </w: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14.1</w:t>
            </w:r>
          </w:p>
        </w:tc>
        <w:tc>
          <w:tcPr>
            <w:tcW w:w="7732" w:type="dxa"/>
            <w:shd w:val="clear" w:color="auto" w:fill="auto"/>
            <w:vAlign w:val="center"/>
          </w:tcPr>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未发现法律法规禁止销售的食盐：</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1.散装食盐；</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2.掺假掺杂、混有异物的食盐；</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3.无标签或者标签不符合法律、法规、规章的食盐；</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color w:val="auto"/>
                <w:spacing w:val="0"/>
                <w:kern w:val="0"/>
                <w:sz w:val="24"/>
                <w:szCs w:val="24"/>
                <w:highlight w:val="none"/>
                <w:u w:val="none" w:color="FF0000"/>
              </w:rPr>
              <w:t>4.其他不符合食品安全标准的食盐。</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0.4</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2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14.2</w:t>
            </w:r>
          </w:p>
        </w:tc>
        <w:tc>
          <w:tcPr>
            <w:tcW w:w="7732" w:type="dxa"/>
            <w:shd w:val="clear" w:color="auto" w:fill="auto"/>
            <w:vAlign w:val="center"/>
          </w:tcPr>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未发现下列产品作为食盐销售：</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1.液体盐（含天然卤水）；</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2.工业用盐和其他非食用盐；</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3.利用盐土、硝土或者工业废渣、废液制作的盐；</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4.利用井矿盐卤水熬制的盐；</w:t>
            </w:r>
          </w:p>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color w:val="auto"/>
                <w:spacing w:val="0"/>
                <w:kern w:val="0"/>
                <w:sz w:val="24"/>
                <w:szCs w:val="24"/>
                <w:highlight w:val="none"/>
                <w:u w:val="none" w:color="FF0000"/>
              </w:rPr>
              <w:t>5.外包装上无标识或者标识不符合国家有关规定的盐。</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0.5</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96"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14.3</w:t>
            </w:r>
          </w:p>
        </w:tc>
        <w:tc>
          <w:tcPr>
            <w:tcW w:w="7732" w:type="dxa"/>
            <w:vAlign w:val="center"/>
          </w:tcPr>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从事食盐批发应取得食盐定点批发企业证书、食品经营许可证（或仅销售预包装食品备案信息采集表），从食盐定点生产企业或者其他食盐定点批发企业购进食盐，在国家规定的范围内销售。建立食盐质量安全追溯体系，落实销售全程记录制度，按规定在省级部门食品安全信息追溯系录入批发食盐的进货查验、出厂检验、食盐销售等信息，将追溯信息推送给购货者并生成追溯凭证。录入的追溯信息准确、规范、完整、真实。记录和凭证保存期限不得少于产品保质期满后六个月;没有明确保质期的，保存期限不得少于二年。</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72" w:hRule="atLeast"/>
          <w:jc w:val="center"/>
        </w:trPr>
        <w:tc>
          <w:tcPr>
            <w:tcW w:w="1443"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r>
              <w:rPr>
                <w:rFonts w:hint="eastAsia" w:ascii="仿宋_GB2312" w:hAnsi="仿宋_GB2312" w:eastAsia="仿宋_GB2312" w:cs="仿宋_GB2312"/>
                <w:b/>
                <w:bCs/>
                <w:color w:val="auto"/>
                <w:spacing w:val="0"/>
                <w:kern w:val="0"/>
                <w:sz w:val="24"/>
                <w:szCs w:val="24"/>
                <w:highlight w:val="none"/>
                <w:u w:val="none" w:color="FF0000"/>
                <w:lang w:val="en-US" w:eastAsia="zh-CN"/>
              </w:rPr>
              <w:t>14.食盐</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14.4</w:t>
            </w:r>
          </w:p>
        </w:tc>
        <w:tc>
          <w:tcPr>
            <w:tcW w:w="7732" w:type="dxa"/>
            <w:vAlign w:val="center"/>
          </w:tcPr>
          <w:p>
            <w:pPr>
              <w:keepNext w:val="0"/>
              <w:keepLines w:val="0"/>
              <w:pageBreakBefore w:val="0"/>
              <w:widowControl/>
              <w:tabs>
                <w:tab w:val="left" w:pos="4352"/>
              </w:tabs>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u w:val="none" w:color="FF0000"/>
              </w:rPr>
            </w:pPr>
            <w:r>
              <w:rPr>
                <w:rFonts w:hint="eastAsia" w:ascii="仿宋_GB2312" w:hAnsi="仿宋_GB2312" w:eastAsia="仿宋_GB2312" w:cs="仿宋_GB2312"/>
                <w:color w:val="auto"/>
                <w:spacing w:val="0"/>
                <w:kern w:val="0"/>
                <w:sz w:val="24"/>
                <w:szCs w:val="24"/>
                <w:highlight w:val="none"/>
                <w:u w:val="none" w:color="FF0000"/>
              </w:rPr>
              <w:t>食盐零售单位从取得食盐定点批发企业证书的单位购进。建立食盐质量安全追溯体系，落实销售全程记录制度，查验食盐供货者的定点批发证书、食品经营许可证（或仅销售预包装食品备案信息采集表）和食品出厂检验合格证或追溯凭证等其他合格证明，如实记录所采购食品的名称、规格、数量、生产日期或者生产批号、保质期、进货日期以及供货者名称、地址、联系方式等内容，并保存相关凭证。记录和凭证保存期限不少于产品保质期满后六个月；没有明确保质期的，保存期限不少于二年（从进货日起计）。</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96"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u w:val="none" w:color="FF0000"/>
                <w:lang w:val="en-US" w:eastAsia="zh-CN"/>
              </w:rPr>
            </w:pPr>
            <w:r>
              <w:rPr>
                <w:rFonts w:hint="eastAsia" w:ascii="仿宋_GB2312" w:hAnsi="仿宋_GB2312" w:eastAsia="仿宋_GB2312" w:cs="仿宋_GB2312"/>
                <w:b/>
                <w:bCs/>
                <w:color w:val="auto"/>
                <w:spacing w:val="0"/>
                <w:kern w:val="0"/>
                <w:sz w:val="24"/>
                <w:szCs w:val="24"/>
                <w:highlight w:val="none"/>
                <w:u w:val="none" w:color="FF0000"/>
                <w:lang w:val="en-US" w:eastAsia="zh-CN"/>
              </w:rPr>
              <w:t>15.食品添加剂</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*15.1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rPr>
              <w:t>查验食品添加剂供货者的生产许可证和产品合格证明文件或追溯凭证，也可以通过省级部门食品安全信息追溯系统及时接收确认供货者推送的追溯信息。记录所采购食品添加剂的名称、规格、数量、生产日期或生产批号、保质期、进货日期及供货者名称、地址、联系方式等内容，并保存相关凭证。记录和凭证保存期限不少于产品保质期满后六个月；没有明确保质期的，保存期限不少于二年（从进货日起计）。</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val="en-US" w:eastAsia="zh-CN" w:bidi="ar-SA"/>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05" w:hRule="atLeast"/>
          <w:jc w:val="center"/>
        </w:trPr>
        <w:tc>
          <w:tcPr>
            <w:tcW w:w="1443" w:type="dxa"/>
            <w:vMerge w:val="continue"/>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*15.2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color w:val="auto"/>
                <w:spacing w:val="0"/>
                <w:kern w:val="0"/>
                <w:sz w:val="24"/>
                <w:szCs w:val="24"/>
                <w:highlight w:val="none"/>
              </w:rPr>
              <w:t>食品添加剂有标签、说明书和包装</w:t>
            </w:r>
            <w:r>
              <w:rPr>
                <w:rFonts w:hint="eastAsia" w:ascii="仿宋_GB2312" w:hAnsi="仿宋_GB2312" w:eastAsia="仿宋_GB2312" w:cs="仿宋_GB2312"/>
                <w:color w:val="auto"/>
                <w:spacing w:val="0"/>
                <w:kern w:val="0"/>
                <w:sz w:val="24"/>
                <w:szCs w:val="24"/>
                <w:highlight w:val="none"/>
                <w:lang w:eastAsia="zh-CN"/>
              </w:rPr>
              <w:t>，</w:t>
            </w:r>
            <w:r>
              <w:rPr>
                <w:rFonts w:hint="eastAsia" w:ascii="仿宋_GB2312" w:hAnsi="仿宋_GB2312" w:eastAsia="仿宋_GB2312" w:cs="仿宋_GB2312"/>
                <w:color w:val="auto"/>
                <w:spacing w:val="0"/>
                <w:kern w:val="0"/>
                <w:sz w:val="24"/>
                <w:szCs w:val="24"/>
                <w:highlight w:val="none"/>
              </w:rPr>
              <w:t>标签、说明书的内容</w:t>
            </w:r>
            <w:r>
              <w:rPr>
                <w:rFonts w:hint="eastAsia" w:ascii="仿宋_GB2312" w:hAnsi="仿宋_GB2312" w:eastAsia="仿宋_GB2312" w:cs="仿宋_GB2312"/>
                <w:color w:val="auto"/>
                <w:spacing w:val="0"/>
                <w:kern w:val="0"/>
                <w:sz w:val="24"/>
                <w:szCs w:val="24"/>
                <w:highlight w:val="none"/>
                <w:lang w:eastAsia="zh-CN"/>
              </w:rPr>
              <w:t>与实际相符</w:t>
            </w:r>
            <w:r>
              <w:rPr>
                <w:rFonts w:hint="eastAsia" w:ascii="仿宋_GB2312" w:hAnsi="仿宋_GB2312" w:eastAsia="仿宋_GB2312" w:cs="仿宋_GB2312"/>
                <w:color w:val="auto"/>
                <w:spacing w:val="0"/>
                <w:kern w:val="0"/>
                <w:sz w:val="24"/>
                <w:szCs w:val="24"/>
                <w:highlight w:val="none"/>
              </w:rPr>
              <w:t>。标签上载明“食品添加剂”字样。提供给消费者直接使用的食品添加剂，标签上还注明“零售”字样。其他内容符合法律、法规以及食品安全标准规定的其他事项。</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kinsoku/>
              <w:wordWrap/>
              <w:overflowPunct/>
              <w:topLinePunct w:val="0"/>
              <w:autoSpaceDE/>
              <w:autoSpaceDN/>
              <w:bidi w:val="0"/>
              <w:adjustRightInd w:val="0"/>
              <w:snapToGrid w:val="0"/>
              <w:spacing w:line="240" w:lineRule="auto"/>
              <w:ind w:left="0" w:leftChars="0"/>
              <w:rPr>
                <w:rFonts w:hint="eastAsia" w:ascii="仿宋_GB2312" w:hAnsi="仿宋_GB2312" w:eastAsia="仿宋_GB2312" w:cs="仿宋_GB2312"/>
                <w:color w:val="auto"/>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53" w:hRule="atLeast"/>
          <w:jc w:val="center"/>
        </w:trPr>
        <w:tc>
          <w:tcPr>
            <w:tcW w:w="1443"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16.进口产品</w:t>
            </w:r>
          </w:p>
        </w:tc>
        <w:tc>
          <w:tcPr>
            <w:tcW w:w="95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*16.1</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eastAsia="zh-CN"/>
              </w:rPr>
              <w:t>进口预包装食品、食品添加剂有中文标签；依法应当有说明书的，有中文说明书。标签、说明书标示原产国国名或地区区名（如香港、澳门、台湾），以及在中国依法登记注册的代理商、进口商或经销者的名称、地址和联系方式，可不标示生产者的名称、地址和联系方式，符合我国法律、行政法规的规定和食品安全国家标准的要求。</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eastAsia="zh-CN"/>
              </w:rPr>
            </w:pPr>
            <w:r>
              <w:rPr>
                <w:rFonts w:hint="eastAsia" w:ascii="仿宋_GB2312" w:hAnsi="仿宋_GB2312" w:eastAsia="仿宋_GB2312" w:cs="仿宋_GB2312"/>
                <w:b/>
                <w:bCs/>
                <w:color w:val="auto"/>
                <w:spacing w:val="0"/>
                <w:kern w:val="0"/>
                <w:sz w:val="24"/>
                <w:szCs w:val="24"/>
                <w:highlight w:val="none"/>
                <w:lang w:val="en-US" w:eastAsia="zh-CN"/>
              </w:rPr>
              <w:t>17.</w:t>
            </w:r>
            <w:r>
              <w:rPr>
                <w:rFonts w:hint="eastAsia" w:ascii="仿宋_GB2312" w:hAnsi="仿宋_GB2312" w:eastAsia="仿宋_GB2312" w:cs="仿宋_GB2312"/>
                <w:b/>
                <w:bCs/>
                <w:color w:val="auto"/>
                <w:spacing w:val="0"/>
                <w:kern w:val="0"/>
                <w:sz w:val="24"/>
                <w:szCs w:val="24"/>
                <w:highlight w:val="none"/>
                <w:lang w:eastAsia="zh-CN"/>
              </w:rPr>
              <w:t>食品销售企业</w:t>
            </w:r>
          </w:p>
        </w:tc>
        <w:tc>
          <w:tcPr>
            <w:tcW w:w="95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食品销售企业具有食品安全管理制度。</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eastAsia="zh-CN"/>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*17.2</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eastAsia="zh-CN"/>
              </w:rPr>
              <w:t>食品销售企业具有培训制度，对各岗位从业人员开展相应的食品安全知识培训。</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eastAsia="zh-CN"/>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17.3</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eastAsia="zh-CN"/>
              </w:rPr>
              <w:t>食品销售企业加强食品检验工作。</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lang w:val="en-US" w:eastAsia="zh-CN" w:bidi="ar-SA"/>
              </w:rPr>
            </w:pPr>
          </w:p>
        </w:tc>
        <w:tc>
          <w:tcPr>
            <w:tcW w:w="95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bidi="ar-SA"/>
              </w:rPr>
              <w:t>*17.4</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auto"/>
                <w:spacing w:val="0"/>
                <w:kern w:val="0"/>
                <w:sz w:val="24"/>
                <w:szCs w:val="24"/>
                <w:highlight w:val="none"/>
                <w:lang w:val="en-US" w:eastAsia="zh-CN" w:bidi="ar-SA"/>
              </w:rPr>
            </w:pPr>
            <w:r>
              <w:rPr>
                <w:rFonts w:hint="eastAsia" w:ascii="仿宋_GB2312" w:hAnsi="仿宋_GB2312" w:eastAsia="仿宋_GB2312" w:cs="仿宋_GB2312"/>
                <w:color w:val="auto"/>
                <w:spacing w:val="0"/>
                <w:kern w:val="0"/>
                <w:sz w:val="24"/>
                <w:szCs w:val="24"/>
                <w:highlight w:val="none"/>
                <w:lang w:eastAsia="zh-CN"/>
              </w:rPr>
              <w:t>具有食品安全风险管控清单，并进行动态管理。</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具有并落实日管控、周排查、月调度制度机制。</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*17.6</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企业主要负责人对企业食品安全工作全面负责。</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0.5</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17.7</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企业主要负责人明确相关制度机制，保障食品安全管理人员工作。</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*17.8</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配备相应的食品安全总监、食品安全员等食品安全管理人员，对其开展培训和考核。</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17.9</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食品安全总监、食品安全员经考核具备相应的食品安全管理能力。</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*17.10</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食品安全总监、食品安全员接受食品安全监管部门监督抽查考核，考核情况公布。</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大中型食品销售企业、连锁销售企业总部制定《食品安全总监职责》。</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w:t>
            </w:r>
            <w:r>
              <w:rPr>
                <w:rFonts w:hint="eastAsia" w:ascii="仿宋_GB2312" w:hAnsi="仿宋_GB2312" w:eastAsia="仿宋_GB2312" w:cs="仿宋_GB2312"/>
                <w:color w:val="auto"/>
                <w:spacing w:val="-6"/>
                <w:kern w:val="0"/>
                <w:sz w:val="24"/>
                <w:szCs w:val="24"/>
                <w:highlight w:val="none"/>
                <w:lang w:eastAsia="zh-CN"/>
              </w:rPr>
              <w:t>品安全总监按照《食品安全总监职责》要求，直接对本企业主要负责人负责并报告食品安全管理情况，协助主要负责人做好食品安全管理工作。</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食品销售企业制定《食品安全员守则》。</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食品安全员按照《食品安全员守则》要求，对食品安全总监或企业主要负责人负责，从事食品安全管理具体工作。</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3"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w:t>
            </w:r>
            <w:r>
              <w:rPr>
                <w:rFonts w:hint="eastAsia" w:ascii="仿宋_GB2312" w:hAnsi="仿宋_GB2312" w:eastAsia="仿宋_GB2312" w:cs="仿宋_GB2312"/>
                <w:b/>
                <w:bCs/>
                <w:color w:val="auto"/>
                <w:spacing w:val="0"/>
                <w:kern w:val="0"/>
                <w:sz w:val="24"/>
                <w:szCs w:val="24"/>
                <w:highlight w:val="none"/>
                <w:lang w:eastAsia="zh-CN"/>
              </w:rPr>
              <w:t>食品销售企业</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食品销售企业记录并存档主要负责人、食品安全总监、食品安全员等人员的设立、调整情况，《食品安全总监职责》《食品安全员守则》以及食品安全总监、食品安全员提出的意见建议和报告等履职情况。</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17.16</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食品销售企业从业人员熟悉食品安全基本原则和岗位操作规程，有明确职责和权限报告发现的食品安全问题。</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42"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*17.17</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销售企业具有进货查验记录制度或通过省级部门食品安全信息追溯系统及时接收确认供货者推送的追溯信息。记录所采购食品的名称、规格、数量、生产日期或者生产批号、保质期、进货日期以及供货者名称、地址、联系方式等内容，并保存相关凭证。记录和凭证保存期限不得少于产品保质期满后六个月；没有明确保质期的，保存期限不得少于二年（从进货日起计）。</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81"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*17.18</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实行统一配送经营方式的食品销售企业由其总部统一录入或者确认追溯信息，并将配送清单以及相应追溯信息推送到所属经营门店。总部未统一录入或者确认追溯信息的，在采购食品后24小时内通过省级部门食品安全信息追溯系统接收确认供货者推送的追溯信息；供货者未推送追溯信息的，应当在采购食品36小时内，如实录入名称、规格、数量、生产日期或者生产批号、保质期、产品合格证明、进货日期和生产者名称，以及供货者的名称、统一社会信用代码、地址、联系方式等追溯信息。录入的追溯信息准确、规范、完整、真实。</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4"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17.19</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食品销售企业在贮存食品时，除了按各项制度要求记录信息外，还要记录交接的时间、地点、人员、运输方式、运输工具等信息，保证食品在不同主体间流转有序，并保存相关凭证。</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5"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17.20</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仅从事食品经营管理活动的，取得一个经营场所的食品经营许可或者进行备案后，未在本省级行政区域外的其他经营场所开展已取得许可或者备案范围内的经营活动。</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35"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18.从事食品批发业务的销售企业</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*18.1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具有并落实销售记录制度，按规定录入所销售食品电子化追溯信息，通过省级部门食品安全信息追溯系统将追溯信息推送给购货者并生成追溯凭证。录入的追溯信息准确、规范、完整、真实。记录食品的名称、规格、数量、生产日期或者生产批号、保质期、销售日期以及购货者名称、地址、联系方式等内容，并保存相关凭证。记录和凭证保存期限不少于产品保质期满后六个月；没有明确保质期的，保存期限不少于二年。</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98"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18.2</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eastAsia="zh-CN"/>
              </w:rPr>
              <w:t>食品批发销售者将名称、统一社会信用代码、法定代表人或者负责人姓名、地址、联系方式、生产经营许可证或者备案等信息录入省级部门食品安全信息追溯系统。信息发生变更的，自变更之日起5日内，更新录入电子档案的相关内容。</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eastAsia="zh-CN"/>
              </w:rPr>
              <w:t>□是  □否□合理缺项</w:t>
            </w:r>
          </w:p>
        </w:tc>
        <w:tc>
          <w:tcPr>
            <w:tcW w:w="84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19.自动售货设备</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19.1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利用自动设备从事销售活动的食品销售者，具有并落实风险管控方案。</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19.2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自动设备放置地点与许可提交材料的放置地点一致。</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19.3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在自动设备的显著位置展示食品经营者的联系方式、食品经营许可证复印件或者电子证书。</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19.4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自动设备内部定期清洗消毒，并记录清洗消毒情况。</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0"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19.5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通过自动设备从事食品经营活动的，取得一个经营场所的食品经营许可或者进行备案后，未在本省级行政区域外的其他经营场所开展已取得许可或者备案范围内的经营活动。</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20.委托或受托贮存情况</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*20.1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委托贮存食品的，选择具有合法资质的贮存服务提供者，查验其资质、食品安全保障能力，留存相关证明文件。委托非食品生产经营者贮存有温度、湿度等特殊要求食品的，审查其备案。</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20.2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具有贮存服务提供者档案，记录相关信息。</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8"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20.委托或受托贮存情况</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20.3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与贮存服务提供者签订合同、协议等，明确双方的食品安全管理责任、保障食品安全的措施要求。</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3"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*20.4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监督贮存服务提供者按照合同、协议等明确的保证食品安全的要求贮存食品，并留存监督记录。委托贮存冷藏冷冻食品的，留存冷藏冷冻食品温度记录。</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20.5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相关记录和证明文件保存期限不少于贮存结束后二年。</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*20.6</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接受委托贮存食品的，留存委托方的食品生产经营许可证复印件（或仅销售预包装食品备案信息采集表）。如实记录委托方的名称、统一社会信用代码、地址、联系方式以及委托贮存的冷藏冷冻食品名称、数量、时间等内容。记录和相关凭证的保存期限不得少于贮存结束后2年。</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1"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21.运输过程控制</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运输和装卸食品的容器、工具和设备安全、无害、保持清洁，防止食品污染。</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6"/>
                <w:kern w:val="0"/>
                <w:sz w:val="24"/>
                <w:szCs w:val="24"/>
                <w:highlight w:val="none"/>
                <w:lang w:eastAsia="zh-CN"/>
              </w:rPr>
              <w:t>运输食品使用专用运输工具，具备防雨、防尘设施。食品运输工具未运输有毒有害物质。同一运输工具运输不同食品时，做好分装、分离或分隔。</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散装食品采用符合国家相关法律法规及标准的食品容器或包装材料进行密封包装后运输。</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委托运输食品的，选择具有合法资质的运输服务提供者，查验其资质、食品安全保障能力，留存相关证明文件。</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具有运输服务提供者档案，记录运输服务提供者主体资格信息、联系方式、运输时间、运输食品品种和数量、运输的起始点地址等信息。</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21.6</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与运输服务提供者签订合同、协议等，明确运输服务提供者的食品安全管理责任、保障食品安全的措施要求。</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*21.7</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监督运输服务提供者按照合同、协议等明确的保证食品安全的要求运输食品，留存监督记录。委托运输冷藏冷冻食品的，留存冷藏冷冻食品温度记录。</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21.运输过程控制</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21.8</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相关记录和证明文件保存期限不少于运输结束后二年。</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22.委托生产</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22.1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取得食品经营许可证销售者可委托生产食品、食品添加剂。</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3"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22.2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选择持有有效食品生产许可、食品添加剂生产许可的生产者开展委托生产活动，其生产许可范围涵盖受委托生产的产品品种，具备相应的生产能力。</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tabs>
                <w:tab w:val="left" w:pos="387"/>
              </w:tabs>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22.3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审查受托方的生产许可，并记录留存相关证明文件。</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22.4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接受受托方对自身食品经营许可证等资质的查验。</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6"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22.5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委托方具有与委托生产食品的种类、数量等相适应的食品安全相关制度和食品安全管理机构，配备相应的食品安全管理人员。</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8"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22.6</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与受托方签订委托生产合同，约定食品原辅料和包装材料采购方式、风险防控措施、监督形式、产品检验方式等双方的食品安全责任义务和不合格产品的赔偿责任等。</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2"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22.7</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对受托方生产行为进行监督，对委托生产的食品、食品添加剂的安全负责。如实记录监督情况，由委托双方确认并留存相关记录。</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38"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22.8</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未发现下列禁止性行为：</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1.委托资质证书不全、超出证照载明的生产范围、不具备相应生产能力的食品生产者委托生产；</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2.将同一食品品种委托多个受托方分段生产；</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3.委托食品加工小作坊生产。</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9"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23.问题产品处置</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销售者发现销售的食品变质、超过保质期、不符合食品安全标准或有证据证明可能危害人体健康时，立即停止采购、售卖，封存不安全食品，并进行显著标示或单独存放在明确标志的场所。</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对不符合食品安全标准或有证据证明可能危害人体健康的食品，采取适当方式有效、准确地通知相关食品生产经营者、消费者。</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2"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知悉食品生产者召回不安全食品的，在经营场所醒目位置张贴生产者发布的召回公告等，配合食品生产者开展召回工作；对通过网络平台销售的，在网站主页发布召回公告，并向消费者推送相关信息。</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6"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对因自身原因所导致的不安全食品的，根据法律法规的规定在其经营的范围内主动召回。在召回通知或者公告中应当特别注明系因其自身的原因导致食品出现不安全问题。召回不安全食品情况告知供货商。</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1"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因生产者无法确定、破产等原因无法召回不安全食品的，在其经营的范围内主动召回不安全食品。</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4"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23.6</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对因停止生产经营、召回等原因退出市场的不安全食品采取补救、无害化处理、销毁等处置措施。</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0"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23.7</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对因标签、标志或说明书不符合食品安全标准而被召回的食品，食品生产者在采取补救措施且能保证食品安全的情况下可以继续销售，销售时向消费者明示补救措施。</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23.8</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对违法添加非食用物质、腐败变质、病死畜禽等严重危害人体健康和生命安全的不安全食品，立即就地销毁。不具备就地销毁条件的，由不安全食品生产经营者集中销毁处理。</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23.9</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食品召回和处理情况向所在地县级市场监督管理部门报告；需要对召回的食品进行无害化处理、销毁的，提前报告时间、地点。</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23.10</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如实记录停止销售、召回和处置不安全食品的名称、商标、批次、规格、数量、来源、发生召回原因、召回情况、后续整改方案、控制风险和危害等内容，保存相关凭证。</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2"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23.问题产品处置</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23.11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记录对召回食品进行无害化处理、销毁的时间、地点、人员、处理方式等信息，市场监督管理部门实施现场监督的，还应当记录相关监管人员基本信息，并保存相关凭证。</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5"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23.12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企业可依法采取补救措施、继续销售的，应当记录采取补救措施的时间、地点、人员、处理方式等信息，并保存相关凭证。</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0"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24.特殊食品</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销售特殊食品查验并保存供货者的许可资质、特殊食品注册证书或者备案凭证、出厂检验合格证或者产品检验报告、进口产品检验检疫证明或入境货物检验检疫证明等材料。进货和销售记录能满足查验和追溯要求。注册或者备案凭证应与实际商品相符，且在有效期内。</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06"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特殊食品的标签、说明书应当与注册或备案的内容相一致。保健食品的标签、说明书载明适宜人群、不适宜人群、功效成分或者标志性成分及其含量，未涉及疾病预防、治疗功能等，并声明“本品不能替代药物”。婴幼儿配方乳粉标签不得使用婴儿和妇女的形象，未标注“人乳化”“母乳化”或近似术语表述。</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进口特殊食品应该有中文标签且必须印制在最小销售包装上，不得加贴。</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42"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特殊食品未与普通食品、药品混放销售。特殊食品设专柜（或专区）销售，并在专柜（或专区）显著位置设立提示牌，分别标明“保健食品销售专柜（或专区）”“特殊医学用途配方食品销售专柜（或专区）”“婴幼儿配方乳粉销售专柜（或专区）”字样，提示牌为绿底白字（黑体）。</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2"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24.5</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保健食品、特殊医学用途配方食品的广告依法报省级市场监督管理部门审查批准后发布。广告应当显著标明广告批准文号；应当依法声明“本品不能代替药物”。</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0.4</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87"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24.特殊食品</w:t>
            </w: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24.6</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保健食品标签设置警示用语区，标注“保健食品不是药物，不能替代药物治疗疾病”警示用语。保健食品经营者在经营保健食品的场所、网络平台等显要位置标注“保健食品不是药物，不能代替药物治疗疾病”等消费提示信息。</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6"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24.7</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对距离保质期不足一个月的婴幼儿配方乳粉采取醒目提示或者提前下架等措施。</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0.1</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6"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*24.8</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网络销售保健食品的页面在显著位置标明“本品不能代替药物”。网络销售特殊医学用途配方食品，销售页面应显著标示“请在医生或者临床营养师指导下使用；不适用于非目标人群使用；本品禁止用于肠外营养支持和静脉注射”等提示用语。</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*24.9</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网络销售特殊食品的销售主页相关信息应当与产品注册证书或备案凭证、广告审查批准等信息相一致，销售页面刊载内容未涉及疾病预防、治疗功能等禁止标志内容。</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*24.10</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医疗机构和药品零售企业之外的食品销售者未向消费者销售特定全营养配方食品。</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*24.11</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未发现通过健康咨询、宣传资料等任何方式虚假夸大宣传特殊食品。</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*24.12</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未宣传声称婴儿配方食品全部或者部分替代母乳。</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24.13</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未对0—12个月龄婴儿食用的婴儿配方食品进行广告宣传。</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0.2</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*24.14</w:t>
            </w:r>
          </w:p>
        </w:tc>
        <w:tc>
          <w:tcPr>
            <w:tcW w:w="7732"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eastAsia="zh-CN"/>
              </w:rPr>
            </w:pPr>
            <w:r>
              <w:rPr>
                <w:rFonts w:hint="eastAsia" w:ascii="仿宋_GB2312" w:hAnsi="仿宋_GB2312" w:eastAsia="仿宋_GB2312" w:cs="仿宋_GB2312"/>
                <w:color w:val="auto"/>
                <w:spacing w:val="0"/>
                <w:kern w:val="0"/>
                <w:sz w:val="24"/>
                <w:szCs w:val="24"/>
                <w:highlight w:val="none"/>
                <w:lang w:eastAsia="zh-CN"/>
              </w:rPr>
              <w:t>特定全营养配方食品未进行网络交易。</w:t>
            </w:r>
          </w:p>
        </w:tc>
        <w:tc>
          <w:tcPr>
            <w:tcW w:w="1494"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0.3</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restart"/>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25.现场制售食品</w:t>
            </w: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25.1</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distribute"/>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6"/>
                <w:kern w:val="0"/>
                <w:sz w:val="24"/>
                <w:szCs w:val="24"/>
                <w:highlight w:val="none"/>
                <w:lang w:eastAsia="zh-CN"/>
              </w:rPr>
              <w:t>从业人员取得健康证明，穿戴清洁的工作衣帽，双手清洁，保持个人卫生。</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w:t>
            </w:r>
            <w:r>
              <w:rPr>
                <w:rFonts w:hint="eastAsia" w:ascii="仿宋_GB2312" w:hAnsi="仿宋_GB2312" w:eastAsia="仿宋_GB2312" w:cs="仿宋_GB2312"/>
                <w:color w:val="000000"/>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rPr>
              <w:t>*</w:t>
            </w:r>
            <w:r>
              <w:rPr>
                <w:rFonts w:hint="eastAsia" w:ascii="仿宋_GB2312" w:hAnsi="仿宋_GB2312" w:eastAsia="仿宋_GB2312" w:cs="仿宋_GB2312"/>
                <w:b/>
                <w:bCs/>
                <w:color w:val="000000"/>
                <w:spacing w:val="0"/>
                <w:kern w:val="0"/>
                <w:sz w:val="24"/>
                <w:szCs w:val="24"/>
                <w:highlight w:val="none"/>
                <w:lang w:val="en-US" w:eastAsia="zh-CN"/>
              </w:rPr>
              <w:t>25.2</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食品操作区域保持清洁、卫生。</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w:t>
            </w:r>
            <w:r>
              <w:rPr>
                <w:rFonts w:hint="eastAsia" w:ascii="仿宋_GB2312" w:hAnsi="仿宋_GB2312" w:eastAsia="仿宋_GB2312" w:cs="仿宋_GB2312"/>
                <w:color w:val="000000"/>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rPr>
              <w:t>*</w:t>
            </w:r>
            <w:r>
              <w:rPr>
                <w:rFonts w:hint="eastAsia" w:ascii="仿宋_GB2312" w:hAnsi="仿宋_GB2312" w:eastAsia="仿宋_GB2312" w:cs="仿宋_GB2312"/>
                <w:b/>
                <w:bCs/>
                <w:color w:val="000000"/>
                <w:spacing w:val="0"/>
                <w:kern w:val="0"/>
                <w:sz w:val="24"/>
                <w:szCs w:val="24"/>
                <w:highlight w:val="none"/>
                <w:lang w:val="en-US" w:eastAsia="zh-CN"/>
              </w:rPr>
              <w:t>25.3</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食品原料、半成品和成品盛放、贮存时相互分开。</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w:t>
            </w:r>
            <w:r>
              <w:rPr>
                <w:rFonts w:hint="eastAsia" w:ascii="仿宋_GB2312" w:hAnsi="仿宋_GB2312" w:eastAsia="仿宋_GB2312" w:cs="仿宋_GB2312"/>
                <w:color w:val="000000"/>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25.4</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食品添加剂由专人负责保管、领用、登记，并有相关记录。</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w:t>
            </w:r>
            <w:r>
              <w:rPr>
                <w:rFonts w:hint="eastAsia" w:ascii="仿宋_GB2312" w:hAnsi="仿宋_GB2312" w:eastAsia="仿宋_GB2312" w:cs="仿宋_GB2312"/>
                <w:color w:val="000000"/>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rPr>
              <w:t>*</w:t>
            </w:r>
            <w:r>
              <w:rPr>
                <w:rFonts w:hint="eastAsia" w:ascii="仿宋_GB2312" w:hAnsi="仿宋_GB2312" w:eastAsia="仿宋_GB2312" w:cs="仿宋_GB2312"/>
                <w:b/>
                <w:bCs/>
                <w:color w:val="000000"/>
                <w:spacing w:val="0"/>
                <w:kern w:val="0"/>
                <w:sz w:val="24"/>
                <w:szCs w:val="24"/>
                <w:highlight w:val="none"/>
                <w:lang w:val="en-US" w:eastAsia="zh-CN"/>
              </w:rPr>
              <w:t>25.5</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操作专间、专用操作场所符合相关要求。</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w:t>
            </w:r>
            <w:r>
              <w:rPr>
                <w:rFonts w:hint="eastAsia" w:ascii="仿宋_GB2312" w:hAnsi="仿宋_GB2312" w:eastAsia="仿宋_GB2312" w:cs="仿宋_GB2312"/>
                <w:color w:val="000000"/>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25.6</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餐厨用具按照规范进行清洗消毒。</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w:t>
            </w:r>
            <w:r>
              <w:rPr>
                <w:rFonts w:hint="eastAsia" w:ascii="仿宋_GB2312" w:hAnsi="仿宋_GB2312" w:eastAsia="仿宋_GB2312" w:cs="仿宋_GB2312"/>
                <w:color w:val="000000"/>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443" w:type="dxa"/>
            <w:vMerge w:val="continue"/>
            <w:vAlign w:val="center"/>
          </w:tcPr>
          <w:p>
            <w:pPr>
              <w:keepNext w:val="0"/>
              <w:keepLines w:val="0"/>
              <w:pageBreakBefore w:val="0"/>
              <w:kinsoku/>
              <w:wordWrap/>
              <w:overflowPunct/>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auto"/>
                <w:spacing w:val="0"/>
                <w:kern w:val="0"/>
                <w:sz w:val="24"/>
                <w:szCs w:val="24"/>
                <w:highlight w:val="none"/>
                <w:lang w:val="en-US" w:eastAsia="zh-CN"/>
              </w:rPr>
            </w:pPr>
          </w:p>
        </w:tc>
        <w:tc>
          <w:tcPr>
            <w:tcW w:w="958"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rPr>
              <w:t>*</w:t>
            </w:r>
            <w:r>
              <w:rPr>
                <w:rFonts w:hint="eastAsia" w:ascii="仿宋_GB2312" w:hAnsi="仿宋_GB2312" w:eastAsia="仿宋_GB2312" w:cs="仿宋_GB2312"/>
                <w:b/>
                <w:bCs/>
                <w:color w:val="000000"/>
                <w:spacing w:val="0"/>
                <w:kern w:val="0"/>
                <w:sz w:val="24"/>
                <w:szCs w:val="24"/>
                <w:highlight w:val="none"/>
                <w:lang w:val="en-US" w:eastAsia="zh-CN"/>
              </w:rPr>
              <w:t>25.7</w:t>
            </w:r>
          </w:p>
        </w:tc>
        <w:tc>
          <w:tcPr>
            <w:tcW w:w="7732"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销售现场制售食品的，在食品的容器、外包装上标明食品的名称、制售日期（时间）或者保质期等内容。</w:t>
            </w:r>
          </w:p>
        </w:tc>
        <w:tc>
          <w:tcPr>
            <w:tcW w:w="1494" w:type="dxa"/>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□是□否</w:t>
            </w:r>
          </w:p>
          <w:p>
            <w:pPr>
              <w:keepNext w:val="0"/>
              <w:keepLines w:val="0"/>
              <w:pageBreakBefore w:val="0"/>
              <w:widowControl/>
              <w:kinsoku/>
              <w:wordWrap/>
              <w:overflowPunct/>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w:t>
            </w:r>
            <w:r>
              <w:rPr>
                <w:rFonts w:hint="eastAsia" w:ascii="仿宋_GB2312" w:hAnsi="仿宋_GB2312" w:eastAsia="仿宋_GB2312" w:cs="仿宋_GB2312"/>
                <w:color w:val="000000"/>
                <w:spacing w:val="0"/>
                <w:kern w:val="0"/>
                <w:sz w:val="24"/>
                <w:szCs w:val="24"/>
                <w:highlight w:val="none"/>
                <w:lang w:eastAsia="zh-CN"/>
              </w:rPr>
              <w:t>合理缺项</w:t>
            </w:r>
          </w:p>
        </w:tc>
        <w:tc>
          <w:tcPr>
            <w:tcW w:w="848" w:type="dxa"/>
            <w:shd w:val="clear" w:color="auto" w:fill="auto"/>
            <w:vAlign w:val="center"/>
          </w:tcPr>
          <w:p>
            <w:pPr>
              <w:keepNext w:val="0"/>
              <w:keepLines w:val="0"/>
              <w:pageBreakBefore w:val="0"/>
              <w:kinsoku/>
              <w:wordWrap/>
              <w:overflowPunct/>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c>
          <w:tcPr>
            <w:tcW w:w="850"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7" w:hRule="atLeast"/>
          <w:jc w:val="center"/>
        </w:trPr>
        <w:tc>
          <w:tcPr>
            <w:tcW w:w="11627" w:type="dxa"/>
            <w:gridSpan w:val="4"/>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eastAsia="zh-CN"/>
              </w:rPr>
              <w:t>总计</w:t>
            </w:r>
          </w:p>
        </w:tc>
        <w:tc>
          <w:tcPr>
            <w:tcW w:w="848" w:type="dxa"/>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auto"/>
                <w:spacing w:val="0"/>
                <w:kern w:val="0"/>
                <w:sz w:val="24"/>
                <w:szCs w:val="24"/>
                <w:highlight w:val="none"/>
                <w:lang w:val="en-US" w:eastAsia="zh-CN"/>
              </w:rPr>
            </w:pPr>
            <w:r>
              <w:rPr>
                <w:rFonts w:hint="eastAsia" w:ascii="仿宋_GB2312" w:hAnsi="仿宋_GB2312" w:eastAsia="仿宋_GB2312" w:cs="仿宋_GB2312"/>
                <w:color w:val="auto"/>
                <w:spacing w:val="0"/>
                <w:kern w:val="0"/>
                <w:sz w:val="24"/>
                <w:szCs w:val="24"/>
                <w:highlight w:val="none"/>
                <w:lang w:val="en-US" w:eastAsia="zh-CN"/>
              </w:rPr>
              <w:t>40</w:t>
            </w:r>
          </w:p>
        </w:tc>
        <w:tc>
          <w:tcPr>
            <w:tcW w:w="1698" w:type="dxa"/>
            <w:gridSpan w:val="2"/>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401" w:type="dxa"/>
            <w:gridSpan w:val="2"/>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jc w:val="left"/>
              <w:textAlignment w:val="center"/>
              <w:rPr>
                <w:rFonts w:hint="eastAsia" w:ascii="黑体" w:hAnsi="黑体" w:eastAsia="黑体" w:cs="黑体"/>
                <w:color w:val="auto"/>
                <w:spacing w:val="0"/>
                <w:kern w:val="0"/>
                <w:sz w:val="24"/>
                <w:szCs w:val="24"/>
                <w:highlight w:val="none"/>
                <w:lang w:val="en-US" w:eastAsia="zh-CN"/>
              </w:rPr>
            </w:pPr>
            <w:r>
              <w:rPr>
                <w:rFonts w:hint="eastAsia" w:ascii="黑体" w:hAnsi="黑体" w:eastAsia="黑体" w:cs="黑体"/>
                <w:color w:val="auto"/>
                <w:spacing w:val="0"/>
                <w:kern w:val="0"/>
                <w:sz w:val="24"/>
                <w:szCs w:val="24"/>
                <w:highlight w:val="none"/>
                <w:lang w:val="en-US" w:eastAsia="zh-CN"/>
              </w:rPr>
              <w:t>检查人员姓名</w:t>
            </w:r>
          </w:p>
        </w:tc>
        <w:tc>
          <w:tcPr>
            <w:tcW w:w="11772" w:type="dxa"/>
            <w:gridSpan w:val="5"/>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textAlignment w:val="center"/>
              <w:rPr>
                <w:rFonts w:hint="eastAsia" w:ascii="黑体" w:hAnsi="黑体" w:eastAsia="黑体" w:cs="黑体"/>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2" w:hRule="atLeast"/>
          <w:jc w:val="center"/>
        </w:trPr>
        <w:tc>
          <w:tcPr>
            <w:tcW w:w="14173" w:type="dxa"/>
            <w:gridSpan w:val="7"/>
            <w:vAlign w:val="top"/>
          </w:tcPr>
          <w:p>
            <w:pPr>
              <w:keepNext w:val="0"/>
              <w:keepLines w:val="0"/>
              <w:pageBreakBefore w:val="0"/>
              <w:widowControl/>
              <w:kinsoku/>
              <w:wordWrap/>
              <w:overflowPunct/>
              <w:topLinePunct w:val="0"/>
              <w:autoSpaceDE/>
              <w:autoSpaceDN/>
              <w:bidi w:val="0"/>
              <w:adjustRightInd w:val="0"/>
              <w:snapToGrid w:val="0"/>
              <w:spacing w:before="157" w:beforeLines="50" w:line="240" w:lineRule="auto"/>
              <w:ind w:left="0"/>
              <w:jc w:val="both"/>
              <w:textAlignment w:val="center"/>
              <w:rPr>
                <w:rFonts w:hint="eastAsia" w:ascii="黑体" w:hAnsi="黑体" w:eastAsia="黑体" w:cs="黑体"/>
                <w:color w:val="auto"/>
                <w:spacing w:val="0"/>
                <w:kern w:val="0"/>
                <w:sz w:val="24"/>
                <w:szCs w:val="24"/>
                <w:highlight w:val="none"/>
                <w:lang w:val="en-US" w:eastAsia="zh-CN"/>
              </w:rPr>
            </w:pPr>
            <w:r>
              <w:rPr>
                <w:rFonts w:hint="eastAsia" w:ascii="黑体" w:hAnsi="黑体" w:eastAsia="黑体" w:cs="黑体"/>
                <w:color w:val="auto"/>
                <w:spacing w:val="0"/>
                <w:kern w:val="0"/>
                <w:sz w:val="24"/>
                <w:szCs w:val="24"/>
                <w:highlight w:val="none"/>
                <w:lang w:val="en-US" w:eastAsia="zh-CN"/>
              </w:rPr>
              <w:t>其他需要记录的问题：</w:t>
            </w:r>
          </w:p>
          <w:p>
            <w:pPr>
              <w:keepNext w:val="0"/>
              <w:keepLines w:val="0"/>
              <w:pageBreakBefore w:val="0"/>
              <w:widowControl/>
              <w:kinsoku/>
              <w:wordWrap/>
              <w:overflowPunct/>
              <w:topLinePunct w:val="0"/>
              <w:autoSpaceDE/>
              <w:autoSpaceDN/>
              <w:bidi w:val="0"/>
              <w:adjustRightInd w:val="0"/>
              <w:snapToGrid w:val="0"/>
              <w:spacing w:line="240" w:lineRule="auto"/>
              <w:ind w:left="0"/>
              <w:jc w:val="both"/>
              <w:textAlignment w:val="center"/>
              <w:rPr>
                <w:rFonts w:hint="eastAsia" w:ascii="黑体" w:hAnsi="黑体" w:eastAsia="黑体" w:cs="黑体"/>
                <w:color w:val="auto"/>
                <w:spacing w:val="0"/>
                <w:kern w:val="0"/>
                <w:sz w:val="24"/>
                <w:szCs w:val="24"/>
                <w:highlight w:val="none"/>
                <w:lang w:val="en-US" w:eastAsia="zh-CN"/>
              </w:rPr>
            </w:pPr>
          </w:p>
          <w:p>
            <w:pPr>
              <w:keepNext w:val="0"/>
              <w:keepLines w:val="0"/>
              <w:pageBreakBefore w:val="0"/>
              <w:widowControl/>
              <w:kinsoku/>
              <w:wordWrap/>
              <w:overflowPunct/>
              <w:topLinePunct w:val="0"/>
              <w:autoSpaceDE/>
              <w:autoSpaceDN/>
              <w:bidi w:val="0"/>
              <w:adjustRightInd w:val="0"/>
              <w:snapToGrid w:val="0"/>
              <w:spacing w:line="240" w:lineRule="auto"/>
              <w:ind w:left="0"/>
              <w:jc w:val="both"/>
              <w:textAlignment w:val="center"/>
              <w:rPr>
                <w:rFonts w:hint="eastAsia" w:ascii="黑体" w:hAnsi="黑体" w:eastAsia="黑体" w:cs="黑体"/>
                <w:color w:val="auto"/>
                <w:spacing w:val="0"/>
                <w:kern w:val="0"/>
                <w:sz w:val="24"/>
                <w:szCs w:val="24"/>
                <w:highlight w:val="none"/>
                <w:lang w:val="en-US" w:eastAsia="zh-CN"/>
              </w:rPr>
            </w:pPr>
          </w:p>
          <w:p>
            <w:pPr>
              <w:keepNext w:val="0"/>
              <w:keepLines w:val="0"/>
              <w:pageBreakBefore w:val="0"/>
              <w:widowControl/>
              <w:kinsoku/>
              <w:wordWrap/>
              <w:overflowPunct/>
              <w:topLinePunct w:val="0"/>
              <w:autoSpaceDE/>
              <w:autoSpaceDN/>
              <w:bidi w:val="0"/>
              <w:adjustRightInd w:val="0"/>
              <w:snapToGrid w:val="0"/>
              <w:spacing w:line="240" w:lineRule="auto"/>
              <w:ind w:left="0"/>
              <w:jc w:val="both"/>
              <w:textAlignment w:val="center"/>
              <w:rPr>
                <w:rFonts w:hint="eastAsia" w:ascii="黑体" w:hAnsi="黑体" w:eastAsia="黑体" w:cs="黑体"/>
                <w:color w:val="auto"/>
                <w:spacing w:val="0"/>
                <w:kern w:val="0"/>
                <w:sz w:val="24"/>
                <w:szCs w:val="24"/>
                <w:highlight w:val="none"/>
                <w:lang w:val="en-US" w:eastAsia="zh-CN"/>
              </w:rPr>
            </w:pPr>
          </w:p>
          <w:p>
            <w:pPr>
              <w:keepNext w:val="0"/>
              <w:keepLines w:val="0"/>
              <w:pageBreakBefore w:val="0"/>
              <w:widowControl/>
              <w:kinsoku/>
              <w:wordWrap/>
              <w:overflowPunct/>
              <w:topLinePunct w:val="0"/>
              <w:autoSpaceDE/>
              <w:autoSpaceDN/>
              <w:bidi w:val="0"/>
              <w:adjustRightInd w:val="0"/>
              <w:snapToGrid w:val="0"/>
              <w:spacing w:line="240" w:lineRule="auto"/>
              <w:ind w:left="0"/>
              <w:jc w:val="both"/>
              <w:textAlignment w:val="center"/>
              <w:rPr>
                <w:rFonts w:hint="eastAsia" w:ascii="黑体" w:hAnsi="黑体" w:eastAsia="黑体" w:cs="黑体"/>
                <w:color w:val="auto"/>
                <w:spacing w:val="0"/>
                <w:kern w:val="0"/>
                <w:sz w:val="24"/>
                <w:szCs w:val="24"/>
                <w:highlight w:val="none"/>
                <w:lang w:val="en-US" w:eastAsia="zh-CN"/>
              </w:rPr>
            </w:pPr>
          </w:p>
        </w:tc>
      </w:tr>
    </w:tbl>
    <w:p>
      <w:pPr>
        <w:keepNext w:val="0"/>
        <w:keepLines w:val="0"/>
        <w:pageBreakBefore w:val="0"/>
        <w:widowControl w:val="0"/>
        <w:kinsoku/>
        <w:wordWrap/>
        <w:overflowPunct w:val="0"/>
        <w:topLinePunct w:val="0"/>
        <w:autoSpaceDE/>
        <w:autoSpaceDN/>
        <w:bidi w:val="0"/>
        <w:adjustRightInd w:val="0"/>
        <w:snapToGrid w:val="0"/>
        <w:spacing w:line="520" w:lineRule="exact"/>
        <w:jc w:val="both"/>
        <w:textAlignment w:val="auto"/>
        <w:rPr>
          <w:rFonts w:hint="default" w:ascii="楷体_GB2312" w:hAnsi="楷体_GB2312" w:eastAsia="楷体_GB2312" w:cs="楷体_GB2312"/>
          <w:color w:val="auto"/>
          <w:spacing w:val="-6"/>
          <w:kern w:val="0"/>
          <w:sz w:val="28"/>
          <w:szCs w:val="28"/>
          <w:highlight w:val="none"/>
          <w:lang w:val="en-US" w:eastAsia="zh-CN"/>
        </w:rPr>
      </w:pPr>
      <w:r>
        <w:rPr>
          <w:rFonts w:hint="default" w:ascii="楷体_GB2312" w:hAnsi="楷体_GB2312" w:eastAsia="楷体_GB2312" w:cs="楷体_GB2312"/>
          <w:color w:val="auto"/>
          <w:spacing w:val="-6"/>
          <w:kern w:val="0"/>
          <w:sz w:val="28"/>
          <w:szCs w:val="28"/>
          <w:highlight w:val="none"/>
          <w:lang w:val="en-US" w:eastAsia="zh-CN"/>
        </w:rPr>
        <w:t>备注：</w:t>
      </w:r>
    </w:p>
    <w:p>
      <w:pPr>
        <w:keepNext w:val="0"/>
        <w:keepLines w:val="0"/>
        <w:pageBreakBefore w:val="0"/>
        <w:widowControl w:val="0"/>
        <w:kinsoku/>
        <w:wordWrap/>
        <w:overflowPunct w:val="0"/>
        <w:topLinePunct w:val="0"/>
        <w:autoSpaceDE/>
        <w:autoSpaceDN/>
        <w:bidi w:val="0"/>
        <w:adjustRightInd w:val="0"/>
        <w:snapToGrid w:val="0"/>
        <w:spacing w:line="520" w:lineRule="exact"/>
        <w:ind w:firstLine="536" w:firstLineChars="200"/>
        <w:jc w:val="both"/>
        <w:textAlignment w:val="auto"/>
        <w:rPr>
          <w:rFonts w:hint="default" w:ascii="楷体_GB2312" w:hAnsi="楷体_GB2312" w:eastAsia="楷体_GB2312" w:cs="楷体_GB2312"/>
          <w:color w:val="auto"/>
          <w:spacing w:val="-6"/>
          <w:kern w:val="0"/>
          <w:sz w:val="28"/>
          <w:szCs w:val="28"/>
          <w:highlight w:val="none"/>
          <w:lang w:val="en-US" w:eastAsia="zh-CN"/>
        </w:rPr>
      </w:pPr>
      <w:r>
        <w:rPr>
          <w:rFonts w:hint="default" w:ascii="楷体_GB2312" w:hAnsi="楷体_GB2312" w:eastAsia="楷体_GB2312" w:cs="楷体_GB2312"/>
          <w:color w:val="auto"/>
          <w:spacing w:val="-6"/>
          <w:kern w:val="0"/>
          <w:sz w:val="28"/>
          <w:szCs w:val="28"/>
          <w:highlight w:val="none"/>
          <w:lang w:val="en-US" w:eastAsia="zh-CN"/>
        </w:rPr>
        <w:t>1.本表用于取得有效食品经营许可证，且主体业态为食品销售经营者的监督检查。</w:t>
      </w:r>
    </w:p>
    <w:p>
      <w:pPr>
        <w:keepNext w:val="0"/>
        <w:keepLines w:val="0"/>
        <w:pageBreakBefore w:val="0"/>
        <w:widowControl w:val="0"/>
        <w:kinsoku/>
        <w:wordWrap/>
        <w:overflowPunct w:val="0"/>
        <w:topLinePunct w:val="0"/>
        <w:autoSpaceDE/>
        <w:autoSpaceDN/>
        <w:bidi w:val="0"/>
        <w:adjustRightInd w:val="0"/>
        <w:snapToGrid w:val="0"/>
        <w:spacing w:line="520" w:lineRule="exact"/>
        <w:ind w:left="0" w:leftChars="0" w:firstLine="536" w:firstLineChars="200"/>
        <w:jc w:val="both"/>
        <w:textAlignment w:val="auto"/>
        <w:rPr>
          <w:rFonts w:hint="default" w:ascii="楷体_GB2312" w:hAnsi="楷体_GB2312" w:eastAsia="楷体_GB2312" w:cs="楷体_GB2312"/>
          <w:color w:val="auto"/>
          <w:spacing w:val="-6"/>
          <w:kern w:val="0"/>
          <w:sz w:val="28"/>
          <w:szCs w:val="28"/>
          <w:highlight w:val="none"/>
          <w:lang w:val="en-US" w:eastAsia="zh-CN"/>
        </w:rPr>
      </w:pPr>
      <w:r>
        <w:rPr>
          <w:rFonts w:hint="default" w:ascii="楷体_GB2312" w:hAnsi="楷体_GB2312" w:eastAsia="楷体_GB2312" w:cs="楷体_GB2312"/>
          <w:color w:val="auto"/>
          <w:spacing w:val="-6"/>
          <w:kern w:val="0"/>
          <w:sz w:val="28"/>
          <w:szCs w:val="28"/>
          <w:highlight w:val="none"/>
          <w:lang w:val="en-US" w:eastAsia="zh-CN"/>
        </w:rPr>
        <w:t>2.动态分值总和为</w:t>
      </w:r>
      <w:r>
        <w:rPr>
          <w:rFonts w:hint="eastAsia" w:ascii="楷体_GB2312" w:hAnsi="楷体_GB2312" w:eastAsia="楷体_GB2312" w:cs="楷体_GB2312"/>
          <w:color w:val="auto"/>
          <w:spacing w:val="-6"/>
          <w:kern w:val="0"/>
          <w:sz w:val="28"/>
          <w:szCs w:val="28"/>
          <w:highlight w:val="none"/>
          <w:lang w:val="en-US" w:eastAsia="zh-CN"/>
        </w:rPr>
        <w:t>40</w:t>
      </w:r>
      <w:r>
        <w:rPr>
          <w:rFonts w:hint="default" w:ascii="楷体_GB2312" w:hAnsi="楷体_GB2312" w:eastAsia="楷体_GB2312" w:cs="楷体_GB2312"/>
          <w:color w:val="auto"/>
          <w:spacing w:val="-6"/>
          <w:kern w:val="0"/>
          <w:sz w:val="28"/>
          <w:szCs w:val="28"/>
          <w:highlight w:val="none"/>
          <w:lang w:val="en-US" w:eastAsia="zh-CN"/>
        </w:rPr>
        <w:t>分，每个项目根据其存在风险（不合规程度）打分，选择“是”，不得分；选择“否”，视情况打分，存在风险（不合规程度）越高，得分越高。</w:t>
      </w:r>
    </w:p>
    <w:p>
      <w:pPr>
        <w:keepNext w:val="0"/>
        <w:keepLines w:val="0"/>
        <w:pageBreakBefore w:val="0"/>
        <w:widowControl w:val="0"/>
        <w:kinsoku/>
        <w:wordWrap/>
        <w:overflowPunct w:val="0"/>
        <w:topLinePunct w:val="0"/>
        <w:autoSpaceDE/>
        <w:autoSpaceDN/>
        <w:bidi w:val="0"/>
        <w:adjustRightInd w:val="0"/>
        <w:snapToGrid w:val="0"/>
        <w:spacing w:line="520" w:lineRule="exact"/>
        <w:ind w:left="0" w:leftChars="0" w:firstLine="536" w:firstLineChars="200"/>
        <w:jc w:val="both"/>
        <w:textAlignment w:val="auto"/>
        <w:rPr>
          <w:rFonts w:hint="default" w:ascii="楷体_GB2312" w:hAnsi="楷体_GB2312" w:eastAsia="楷体_GB2312" w:cs="楷体_GB2312"/>
          <w:color w:val="auto"/>
          <w:spacing w:val="-6"/>
          <w:kern w:val="0"/>
          <w:sz w:val="28"/>
          <w:szCs w:val="28"/>
          <w:highlight w:val="none"/>
          <w:lang w:val="en-US" w:eastAsia="zh-CN"/>
        </w:rPr>
      </w:pPr>
      <w:r>
        <w:rPr>
          <w:rFonts w:hint="default" w:ascii="楷体_GB2312" w:hAnsi="楷体_GB2312" w:eastAsia="楷体_GB2312" w:cs="楷体_GB2312"/>
          <w:color w:val="auto"/>
          <w:spacing w:val="-6"/>
          <w:kern w:val="0"/>
          <w:sz w:val="28"/>
          <w:szCs w:val="28"/>
          <w:highlight w:val="none"/>
          <w:lang w:val="en-US" w:eastAsia="zh-CN"/>
        </w:rPr>
        <w:t>3.现场制售食品相关要求参照《餐饮服务食品安全操作规范》。对在经营场所内存在食品简单制售活动的经营主体，该主体的风险等级在按照销售风险因素评定后的等级基础上，上调1个风险等级。</w:t>
      </w:r>
      <w:r>
        <w:rPr>
          <w:rFonts w:hint="eastAsia" w:ascii="楷体_GB2312" w:hAnsi="楷体_GB2312" w:eastAsia="楷体_GB2312" w:cs="楷体_GB2312"/>
          <w:color w:val="auto"/>
          <w:spacing w:val="-6"/>
          <w:kern w:val="0"/>
          <w:sz w:val="28"/>
          <w:szCs w:val="28"/>
          <w:highlight w:val="none"/>
          <w:lang w:val="en-US" w:eastAsia="zh-CN"/>
        </w:rPr>
        <w:t>本表现场制售食品的检查内容仅用于开展检查时使用，不做风险评定计分。</w:t>
      </w:r>
    </w:p>
    <w:p>
      <w:pPr>
        <w:keepNext w:val="0"/>
        <w:keepLines w:val="0"/>
        <w:pageBreakBefore w:val="0"/>
        <w:widowControl w:val="0"/>
        <w:kinsoku/>
        <w:wordWrap/>
        <w:overflowPunct w:val="0"/>
        <w:topLinePunct w:val="0"/>
        <w:autoSpaceDE/>
        <w:autoSpaceDN/>
        <w:bidi w:val="0"/>
        <w:adjustRightInd w:val="0"/>
        <w:snapToGrid w:val="0"/>
        <w:spacing w:line="520" w:lineRule="exact"/>
        <w:ind w:left="0" w:leftChars="0" w:firstLine="536" w:firstLineChars="200"/>
        <w:jc w:val="both"/>
        <w:textAlignment w:val="auto"/>
        <w:rPr>
          <w:rFonts w:hint="default" w:ascii="楷体_GB2312" w:hAnsi="楷体_GB2312" w:eastAsia="楷体_GB2312" w:cs="楷体_GB2312"/>
          <w:color w:val="auto"/>
          <w:spacing w:val="-6"/>
          <w:kern w:val="0"/>
          <w:sz w:val="28"/>
          <w:szCs w:val="28"/>
          <w:highlight w:val="none"/>
          <w:lang w:val="en-US" w:eastAsia="zh-CN"/>
        </w:rPr>
      </w:pPr>
      <w:r>
        <w:rPr>
          <w:rFonts w:hint="default" w:ascii="楷体_GB2312" w:hAnsi="楷体_GB2312" w:eastAsia="楷体_GB2312" w:cs="楷体_GB2312"/>
          <w:color w:val="auto"/>
          <w:spacing w:val="-6"/>
          <w:kern w:val="0"/>
          <w:sz w:val="28"/>
          <w:szCs w:val="28"/>
          <w:highlight w:val="none"/>
          <w:lang w:val="en-US" w:eastAsia="zh-CN"/>
        </w:rPr>
        <w:t>4.检查内容包括但不仅限于所列项目，所列项目检查发现的问题，填写在“存在问题”栏，发现的其他问题填写在“其他需要记录的问题”栏。</w:t>
      </w:r>
    </w:p>
    <w:p>
      <w:pPr>
        <w:keepNext w:val="0"/>
        <w:keepLines w:val="0"/>
        <w:pageBreakBefore w:val="0"/>
        <w:widowControl w:val="0"/>
        <w:kinsoku/>
        <w:wordWrap/>
        <w:overflowPunct w:val="0"/>
        <w:topLinePunct w:val="0"/>
        <w:autoSpaceDE/>
        <w:autoSpaceDN/>
        <w:bidi w:val="0"/>
        <w:adjustRightInd w:val="0"/>
        <w:snapToGrid w:val="0"/>
        <w:spacing w:line="520" w:lineRule="exact"/>
        <w:ind w:left="0" w:leftChars="0" w:firstLine="536" w:firstLineChars="200"/>
        <w:jc w:val="both"/>
        <w:textAlignment w:val="auto"/>
        <w:rPr>
          <w:rFonts w:hint="default" w:ascii="楷体_GB2312" w:hAnsi="楷体_GB2312" w:eastAsia="楷体_GB2312" w:cs="楷体_GB2312"/>
          <w:color w:val="auto"/>
          <w:spacing w:val="-6"/>
          <w:kern w:val="0"/>
          <w:sz w:val="28"/>
          <w:szCs w:val="28"/>
          <w:highlight w:val="none"/>
          <w:lang w:val="en-US" w:eastAsia="zh-CN"/>
        </w:rPr>
      </w:pPr>
      <w:r>
        <w:rPr>
          <w:rFonts w:hint="default" w:ascii="楷体_GB2312" w:hAnsi="楷体_GB2312" w:eastAsia="楷体_GB2312" w:cs="楷体_GB2312"/>
          <w:color w:val="auto"/>
          <w:spacing w:val="-6"/>
          <w:kern w:val="0"/>
          <w:sz w:val="28"/>
          <w:szCs w:val="28"/>
          <w:highlight w:val="none"/>
          <w:lang w:val="en-US" w:eastAsia="zh-CN"/>
        </w:rPr>
        <w:t>5.表中打*号的为重点项，其他为一般项。</w:t>
      </w:r>
    </w:p>
    <w:p>
      <w:pPr>
        <w:keepNext w:val="0"/>
        <w:keepLines w:val="0"/>
        <w:pageBreakBefore w:val="0"/>
        <w:widowControl w:val="0"/>
        <w:kinsoku/>
        <w:wordWrap/>
        <w:overflowPunct w:val="0"/>
        <w:topLinePunct w:val="0"/>
        <w:autoSpaceDE/>
        <w:autoSpaceDN/>
        <w:bidi w:val="0"/>
        <w:adjustRightInd w:val="0"/>
        <w:snapToGrid w:val="0"/>
        <w:spacing w:line="520" w:lineRule="exact"/>
        <w:ind w:left="0" w:leftChars="0" w:firstLine="536" w:firstLineChars="200"/>
        <w:jc w:val="both"/>
        <w:textAlignment w:val="auto"/>
        <w:rPr>
          <w:rFonts w:hint="default" w:ascii="楷体_GB2312" w:hAnsi="楷体_GB2312" w:eastAsia="楷体_GB2312" w:cs="楷体_GB2312"/>
          <w:color w:val="auto"/>
          <w:spacing w:val="-6"/>
          <w:kern w:val="0"/>
          <w:sz w:val="28"/>
          <w:szCs w:val="28"/>
          <w:highlight w:val="none"/>
          <w:lang w:val="en-US" w:eastAsia="zh-CN"/>
        </w:rPr>
      </w:pPr>
      <w:r>
        <w:rPr>
          <w:rFonts w:hint="default" w:ascii="楷体_GB2312" w:hAnsi="楷体_GB2312" w:eastAsia="楷体_GB2312" w:cs="楷体_GB2312"/>
          <w:color w:val="auto"/>
          <w:spacing w:val="-6"/>
          <w:kern w:val="0"/>
          <w:sz w:val="28"/>
          <w:szCs w:val="28"/>
          <w:highlight w:val="none"/>
          <w:lang w:val="en-US" w:eastAsia="zh-CN"/>
        </w:rPr>
        <w:t>6.如果检查项目存在合理缺项，该项不得分，不计入不符合项数。</w:t>
      </w:r>
    </w:p>
    <w:p>
      <w:pPr>
        <w:keepNext w:val="0"/>
        <w:keepLines w:val="0"/>
        <w:pageBreakBefore w:val="0"/>
        <w:widowControl w:val="0"/>
        <w:kinsoku/>
        <w:wordWrap/>
        <w:overflowPunct w:val="0"/>
        <w:topLinePunct w:val="0"/>
        <w:autoSpaceDE/>
        <w:autoSpaceDN/>
        <w:bidi w:val="0"/>
        <w:adjustRightInd w:val="0"/>
        <w:snapToGrid w:val="0"/>
        <w:spacing w:line="520" w:lineRule="exact"/>
        <w:ind w:left="0" w:leftChars="0" w:firstLine="536" w:firstLineChars="200"/>
        <w:jc w:val="both"/>
        <w:textAlignment w:val="auto"/>
        <w:rPr>
          <w:rFonts w:hint="default" w:ascii="楷体_GB2312" w:hAnsi="楷体_GB2312" w:eastAsia="楷体_GB2312" w:cs="楷体_GB2312"/>
          <w:color w:val="auto"/>
          <w:spacing w:val="-6"/>
          <w:kern w:val="0"/>
          <w:sz w:val="28"/>
          <w:szCs w:val="28"/>
          <w:highlight w:val="none"/>
          <w:lang w:val="en-US" w:eastAsia="zh-CN"/>
        </w:rPr>
      </w:pPr>
      <w:r>
        <w:rPr>
          <w:rFonts w:hint="eastAsia" w:ascii="楷体_GB2312" w:hAnsi="楷体_GB2312" w:eastAsia="楷体_GB2312" w:cs="楷体_GB2312"/>
          <w:color w:val="auto"/>
          <w:spacing w:val="-6"/>
          <w:kern w:val="0"/>
          <w:sz w:val="28"/>
          <w:szCs w:val="28"/>
          <w:highlight w:val="none"/>
          <w:lang w:val="en-US" w:eastAsia="zh-CN"/>
        </w:rPr>
        <w:t>7.如无特别明确，具体内容各项要求适用主体为食品销售者，包括个体工商户和企业。</w:t>
      </w:r>
    </w:p>
    <w:p>
      <w:pPr>
        <w:rPr>
          <w:rFonts w:hint="eastAsia" w:ascii="楷体_GB2312" w:hAnsi="楷体_GB2312" w:eastAsia="楷体_GB2312" w:cs="楷体_GB2312"/>
          <w:snapToGrid w:val="0"/>
          <w:color w:val="000000"/>
          <w:kern w:val="0"/>
          <w:sz w:val="28"/>
          <w:szCs w:val="28"/>
          <w:lang w:val="en-US" w:eastAsia="en-US"/>
        </w:rPr>
      </w:pPr>
      <w:r>
        <w:rPr>
          <w:rFonts w:hint="eastAsia" w:ascii="楷体_GB2312" w:hAnsi="楷体_GB2312" w:eastAsia="楷体_GB2312" w:cs="楷体_GB2312"/>
          <w:snapToGrid w:val="0"/>
          <w:color w:val="000000"/>
          <w:kern w:val="0"/>
          <w:sz w:val="28"/>
          <w:szCs w:val="28"/>
          <w:lang w:val="en-US" w:eastAsia="en-US"/>
        </w:rPr>
        <w:br w:type="page"/>
      </w: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黑体" w:hAnsi="黑体" w:eastAsia="黑体" w:cs="黑体"/>
          <w:snapToGrid w:val="0"/>
          <w:spacing w:val="0"/>
          <w:kern w:val="0"/>
          <w:sz w:val="32"/>
          <w:szCs w:val="32"/>
          <w:highlight w:val="none"/>
          <w:lang w:val="en-US" w:eastAsia="zh-CN"/>
        </w:rPr>
      </w:pPr>
      <w:r>
        <w:rPr>
          <w:rFonts w:hint="eastAsia" w:ascii="黑体" w:hAnsi="黑体" w:eastAsia="黑体" w:cs="黑体"/>
          <w:snapToGrid w:val="0"/>
          <w:spacing w:val="0"/>
          <w:kern w:val="0"/>
          <w:sz w:val="32"/>
          <w:szCs w:val="32"/>
          <w:highlight w:val="none"/>
          <w:lang w:eastAsia="zh-CN"/>
        </w:rPr>
        <w:t>附件</w:t>
      </w:r>
      <w:r>
        <w:rPr>
          <w:rFonts w:hint="eastAsia" w:ascii="黑体" w:hAnsi="黑体" w:eastAsia="黑体" w:cs="黑体"/>
          <w:snapToGrid w:val="0"/>
          <w:spacing w:val="0"/>
          <w:kern w:val="0"/>
          <w:sz w:val="32"/>
          <w:szCs w:val="32"/>
          <w:highlight w:val="none"/>
          <w:lang w:val="en-US" w:eastAsia="zh-CN"/>
        </w:rPr>
        <w:t>3-3</w:t>
      </w: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default" w:ascii="Times New Roman" w:hAnsi="Times New Roman" w:eastAsia="方正小标宋简体" w:cs="Times New Roman"/>
          <w:snapToGrid w:val="0"/>
          <w:spacing w:val="0"/>
          <w:kern w:val="0"/>
          <w:sz w:val="44"/>
          <w:szCs w:val="44"/>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default" w:ascii="Times New Roman" w:hAnsi="Times New Roman" w:eastAsia="方正小标宋简体" w:cs="Times New Roman"/>
          <w:snapToGrid w:val="0"/>
          <w:spacing w:val="0"/>
          <w:kern w:val="0"/>
          <w:sz w:val="44"/>
          <w:szCs w:val="44"/>
          <w:highlight w:val="none"/>
          <w:lang w:eastAsia="zh-CN"/>
        </w:rPr>
      </w:pPr>
      <w:r>
        <w:rPr>
          <w:rFonts w:hint="eastAsia" w:ascii="Times New Roman" w:hAnsi="Times New Roman" w:eastAsia="方正小标宋简体" w:cs="Times New Roman"/>
          <w:snapToGrid w:val="0"/>
          <w:spacing w:val="0"/>
          <w:kern w:val="0"/>
          <w:sz w:val="44"/>
          <w:szCs w:val="44"/>
          <w:highlight w:val="none"/>
          <w:lang w:eastAsia="zh-CN"/>
        </w:rPr>
        <w:t>仅销售预包装</w:t>
      </w:r>
      <w:r>
        <w:rPr>
          <w:rFonts w:hint="default" w:ascii="Times New Roman" w:hAnsi="Times New Roman" w:eastAsia="方正小标宋简体" w:cs="Times New Roman"/>
          <w:snapToGrid w:val="0"/>
          <w:spacing w:val="0"/>
          <w:kern w:val="0"/>
          <w:sz w:val="44"/>
          <w:szCs w:val="44"/>
          <w:highlight w:val="none"/>
          <w:lang w:eastAsia="zh-CN"/>
        </w:rPr>
        <w:t>食品</w:t>
      </w:r>
      <w:r>
        <w:rPr>
          <w:rFonts w:hint="eastAsia" w:ascii="Times New Roman" w:hAnsi="Times New Roman" w:eastAsia="方正小标宋简体" w:cs="Times New Roman"/>
          <w:snapToGrid w:val="0"/>
          <w:spacing w:val="0"/>
          <w:kern w:val="0"/>
          <w:sz w:val="44"/>
          <w:szCs w:val="44"/>
          <w:highlight w:val="none"/>
          <w:lang w:eastAsia="zh-CN"/>
        </w:rPr>
        <w:t>经营</w:t>
      </w:r>
      <w:r>
        <w:rPr>
          <w:rFonts w:hint="default" w:ascii="Times New Roman" w:hAnsi="Times New Roman" w:eastAsia="方正小标宋简体" w:cs="Times New Roman"/>
          <w:snapToGrid w:val="0"/>
          <w:spacing w:val="0"/>
          <w:kern w:val="0"/>
          <w:sz w:val="44"/>
          <w:szCs w:val="44"/>
          <w:highlight w:val="none"/>
          <w:lang w:eastAsia="zh-CN"/>
        </w:rPr>
        <w:t>者动态风险因素量化分值表</w:t>
      </w: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eastAsia" w:ascii="楷体_GB2312" w:hAnsi="楷体_GB2312" w:eastAsia="楷体_GB2312" w:cs="楷体_GB2312"/>
          <w:b/>
          <w:bCs/>
          <w:snapToGrid w:val="0"/>
          <w:spacing w:val="0"/>
          <w:kern w:val="0"/>
          <w:sz w:val="32"/>
          <w:szCs w:val="32"/>
          <w:highlight w:val="none"/>
          <w:lang w:eastAsia="zh-CN"/>
        </w:rPr>
      </w:pPr>
      <w:r>
        <w:rPr>
          <w:rFonts w:hint="eastAsia" w:ascii="楷体_GB2312" w:hAnsi="楷体_GB2312" w:eastAsia="楷体_GB2312" w:cs="楷体_GB2312"/>
          <w:b/>
          <w:bCs/>
          <w:snapToGrid w:val="0"/>
          <w:spacing w:val="0"/>
          <w:kern w:val="0"/>
          <w:sz w:val="32"/>
          <w:szCs w:val="32"/>
          <w:highlight w:val="none"/>
          <w:lang w:eastAsia="zh-CN"/>
        </w:rPr>
        <w:t>（日常监督检查要点表）</w:t>
      </w:r>
    </w:p>
    <w:p>
      <w:pPr>
        <w:pStyle w:val="2"/>
        <w:keepNext w:val="0"/>
        <w:keepLines w:val="0"/>
        <w:pageBreakBefore w:val="0"/>
        <w:widowControl w:val="0"/>
        <w:kinsoku/>
        <w:wordWrap/>
        <w:overflowPunct w:val="0"/>
        <w:topLinePunct w:val="0"/>
        <w:autoSpaceDE/>
        <w:autoSpaceDN/>
        <w:bidi w:val="0"/>
        <w:adjustRightInd w:val="0"/>
        <w:snapToGrid w:val="0"/>
        <w:spacing w:after="0" w:line="560" w:lineRule="exact"/>
        <w:textAlignment w:val="auto"/>
        <w:rPr>
          <w:rFonts w:hint="eastAsia"/>
          <w:lang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黑体" w:hAnsi="黑体" w:eastAsia="黑体" w:cs="黑体"/>
          <w:snapToGrid w:val="0"/>
          <w:spacing w:val="0"/>
          <w:kern w:val="0"/>
          <w:sz w:val="28"/>
          <w:szCs w:val="28"/>
          <w:lang w:eastAsia="zh-CN"/>
        </w:rPr>
      </w:pPr>
      <w:r>
        <w:rPr>
          <w:rFonts w:hint="eastAsia" w:ascii="黑体" w:hAnsi="黑体" w:eastAsia="黑体" w:cs="黑体"/>
          <w:i w:val="0"/>
          <w:iCs w:val="0"/>
          <w:snapToGrid w:val="0"/>
          <w:color w:val="000000"/>
          <w:spacing w:val="0"/>
          <w:kern w:val="0"/>
          <w:sz w:val="28"/>
          <w:szCs w:val="28"/>
          <w:highlight w:val="none"/>
          <w:u w:val="none"/>
          <w:lang w:val="en-US" w:eastAsia="zh-CN" w:bidi="ar"/>
        </w:rPr>
        <w:t>检查对象名称：</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bCs/>
          <w:snapToGrid w:val="0"/>
          <w:spacing w:val="0"/>
          <w:kern w:val="0"/>
          <w:sz w:val="28"/>
          <w:szCs w:val="28"/>
          <w:u w:val="single"/>
          <w:lang w:val="en-US" w:eastAsia="zh-CN"/>
        </w:rPr>
        <w:t xml:space="preserve">    </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bCs/>
          <w:snapToGrid w:val="0"/>
          <w:spacing w:val="0"/>
          <w:kern w:val="0"/>
          <w:sz w:val="28"/>
          <w:szCs w:val="28"/>
          <w:u w:val="single"/>
          <w:lang w:val="en-US" w:eastAsia="zh-CN"/>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 xml:space="preserve">   社会信用代码/注册号</w:t>
      </w:r>
      <w:r>
        <w:rPr>
          <w:rFonts w:hint="eastAsia" w:ascii="黑体" w:hAnsi="黑体" w:eastAsia="黑体" w:cs="黑体"/>
          <w:bCs/>
          <w:snapToGrid w:val="0"/>
          <w:spacing w:val="0"/>
          <w:kern w:val="0"/>
          <w:sz w:val="28"/>
          <w:szCs w:val="28"/>
        </w:rPr>
        <w:t>：</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bCs/>
          <w:snapToGrid w:val="0"/>
          <w:spacing w:val="0"/>
          <w:kern w:val="0"/>
          <w:sz w:val="28"/>
          <w:szCs w:val="28"/>
          <w:u w:val="single"/>
          <w:lang w:val="en-US" w:eastAsia="zh-CN"/>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 xml:space="preserve">    时间：</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年</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月</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日</w:t>
      </w:r>
    </w:p>
    <w:tbl>
      <w:tblPr>
        <w:tblStyle w:val="9"/>
        <w:tblW w:w="1417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0"/>
        <w:gridCol w:w="943"/>
        <w:gridCol w:w="7918"/>
        <w:gridCol w:w="1546"/>
        <w:gridCol w:w="805"/>
        <w:gridCol w:w="805"/>
        <w:gridCol w:w="8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blHeader/>
          <w:jc w:val="center"/>
        </w:trPr>
        <w:tc>
          <w:tcPr>
            <w:tcW w:w="135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黑体" w:hAnsi="黑体" w:eastAsia="黑体" w:cs="黑体"/>
                <w:b w:val="0"/>
                <w:bCs w:val="0"/>
                <w:color w:val="000000"/>
                <w:spacing w:val="0"/>
                <w:kern w:val="0"/>
                <w:sz w:val="24"/>
                <w:szCs w:val="24"/>
                <w:highlight w:val="none"/>
              </w:rPr>
            </w:pPr>
            <w:r>
              <w:rPr>
                <w:rFonts w:hint="eastAsia" w:ascii="黑体" w:hAnsi="黑体" w:eastAsia="黑体" w:cs="黑体"/>
                <w:b w:val="0"/>
                <w:bCs w:val="0"/>
                <w:color w:val="000000"/>
                <w:spacing w:val="0"/>
                <w:kern w:val="0"/>
                <w:sz w:val="24"/>
                <w:szCs w:val="24"/>
                <w:highlight w:val="none"/>
              </w:rPr>
              <w:t>检查项目</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黑体" w:hAnsi="黑体" w:eastAsia="黑体" w:cs="黑体"/>
                <w:b w:val="0"/>
                <w:bCs w:val="0"/>
                <w:color w:val="000000"/>
                <w:spacing w:val="0"/>
                <w:kern w:val="0"/>
                <w:sz w:val="24"/>
                <w:szCs w:val="24"/>
                <w:highlight w:val="none"/>
              </w:rPr>
            </w:pPr>
            <w:r>
              <w:rPr>
                <w:rFonts w:hint="eastAsia" w:ascii="黑体" w:hAnsi="黑体" w:eastAsia="黑体" w:cs="黑体"/>
                <w:b w:val="0"/>
                <w:bCs w:val="0"/>
                <w:color w:val="000000"/>
                <w:spacing w:val="0"/>
                <w:kern w:val="0"/>
                <w:sz w:val="24"/>
                <w:szCs w:val="24"/>
                <w:highlight w:val="none"/>
              </w:rPr>
              <w:t>序号</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黑体" w:hAnsi="黑体" w:eastAsia="黑体" w:cs="黑体"/>
                <w:b w:val="0"/>
                <w:bCs w:val="0"/>
                <w:color w:val="000000"/>
                <w:spacing w:val="0"/>
                <w:kern w:val="0"/>
                <w:sz w:val="24"/>
                <w:szCs w:val="24"/>
                <w:highlight w:val="none"/>
              </w:rPr>
            </w:pPr>
            <w:r>
              <w:rPr>
                <w:rFonts w:hint="eastAsia" w:ascii="黑体" w:hAnsi="黑体" w:eastAsia="黑体" w:cs="黑体"/>
                <w:b w:val="0"/>
                <w:bCs w:val="0"/>
                <w:color w:val="000000"/>
                <w:spacing w:val="0"/>
                <w:kern w:val="0"/>
                <w:sz w:val="24"/>
                <w:szCs w:val="24"/>
                <w:highlight w:val="none"/>
              </w:rPr>
              <w:t>检查内容</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黑体" w:hAnsi="黑体" w:eastAsia="黑体" w:cs="黑体"/>
                <w:b w:val="0"/>
                <w:bCs w:val="0"/>
                <w:color w:val="000000"/>
                <w:spacing w:val="0"/>
                <w:kern w:val="0"/>
                <w:sz w:val="24"/>
                <w:szCs w:val="24"/>
                <w:highlight w:val="none"/>
                <w:lang w:eastAsia="zh-CN"/>
              </w:rPr>
            </w:pPr>
            <w:r>
              <w:rPr>
                <w:rFonts w:hint="eastAsia" w:ascii="黑体" w:hAnsi="黑体" w:eastAsia="黑体" w:cs="黑体"/>
                <w:b w:val="0"/>
                <w:bCs w:val="0"/>
                <w:color w:val="000000"/>
                <w:spacing w:val="0"/>
                <w:kern w:val="0"/>
                <w:sz w:val="24"/>
                <w:szCs w:val="24"/>
                <w:highlight w:val="none"/>
                <w:lang w:eastAsia="zh-CN"/>
              </w:rPr>
              <w:t>检查结果</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黑体" w:hAnsi="黑体" w:eastAsia="黑体" w:cs="黑体"/>
                <w:b w:val="0"/>
                <w:bCs w:val="0"/>
                <w:color w:val="000000"/>
                <w:spacing w:val="0"/>
                <w:kern w:val="0"/>
                <w:sz w:val="24"/>
                <w:szCs w:val="24"/>
                <w:highlight w:val="none"/>
                <w:lang w:eastAsia="zh-CN"/>
              </w:rPr>
            </w:pPr>
            <w:r>
              <w:rPr>
                <w:rFonts w:hint="eastAsia" w:ascii="黑体" w:hAnsi="黑体" w:eastAsia="黑体" w:cs="黑体"/>
                <w:b w:val="0"/>
                <w:bCs w:val="0"/>
                <w:color w:val="000000"/>
                <w:spacing w:val="0"/>
                <w:kern w:val="0"/>
                <w:sz w:val="24"/>
                <w:szCs w:val="24"/>
                <w:highlight w:val="none"/>
                <w:lang w:eastAsia="zh-CN"/>
              </w:rPr>
              <w:t>分值</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黑体" w:hAnsi="黑体" w:eastAsia="黑体" w:cs="黑体"/>
                <w:b w:val="0"/>
                <w:bCs w:val="0"/>
                <w:color w:val="000000"/>
                <w:spacing w:val="0"/>
                <w:kern w:val="0"/>
                <w:sz w:val="24"/>
                <w:szCs w:val="24"/>
                <w:highlight w:val="none"/>
                <w:lang w:eastAsia="zh-CN"/>
              </w:rPr>
            </w:pPr>
            <w:r>
              <w:rPr>
                <w:rFonts w:hint="eastAsia" w:ascii="黑体" w:hAnsi="黑体" w:eastAsia="黑体" w:cs="黑体"/>
                <w:b w:val="0"/>
                <w:bCs w:val="0"/>
                <w:color w:val="000000"/>
                <w:spacing w:val="0"/>
                <w:kern w:val="0"/>
                <w:sz w:val="24"/>
                <w:szCs w:val="24"/>
                <w:highlight w:val="none"/>
                <w:lang w:eastAsia="zh-CN"/>
              </w:rPr>
              <w:t>得分</w:t>
            </w: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黑体" w:hAnsi="黑体" w:eastAsia="黑体" w:cs="黑体"/>
                <w:b w:val="0"/>
                <w:bCs w:val="0"/>
                <w:color w:val="000000"/>
                <w:spacing w:val="0"/>
                <w:kern w:val="0"/>
                <w:sz w:val="24"/>
                <w:szCs w:val="24"/>
                <w:highlight w:val="none"/>
                <w:lang w:eastAsia="zh-CN"/>
              </w:rPr>
            </w:pPr>
            <w:r>
              <w:rPr>
                <w:rFonts w:hint="eastAsia" w:ascii="黑体" w:hAnsi="黑体" w:eastAsia="黑体" w:cs="黑体"/>
                <w:b w:val="0"/>
                <w:bCs w:val="0"/>
                <w:color w:val="000000"/>
                <w:spacing w:val="0"/>
                <w:kern w:val="0"/>
                <w:sz w:val="24"/>
                <w:szCs w:val="24"/>
                <w:highlight w:val="none"/>
                <w:lang w:eastAsia="zh-CN"/>
              </w:rPr>
              <w:t>存在问题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2562" w:type="dxa"/>
            <w:gridSpan w:val="5"/>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eastAsia="zh-CN"/>
              </w:rPr>
            </w:pPr>
            <w:r>
              <w:rPr>
                <w:rFonts w:hint="eastAsia" w:ascii="黑体" w:hAnsi="黑体" w:eastAsia="黑体" w:cs="黑体"/>
                <w:b w:val="0"/>
                <w:bCs w:val="0"/>
                <w:spacing w:val="0"/>
                <w:kern w:val="0"/>
                <w:sz w:val="24"/>
                <w:szCs w:val="24"/>
                <w:highlight w:val="none"/>
                <w:lang w:eastAsia="zh-CN"/>
              </w:rPr>
              <w:t>推荐重点检查</w:t>
            </w:r>
            <w:r>
              <w:rPr>
                <w:rFonts w:hint="eastAsia" w:ascii="黑体" w:hAnsi="黑体" w:eastAsia="黑体" w:cs="黑体"/>
                <w:b w:val="0"/>
                <w:bCs w:val="0"/>
                <w:spacing w:val="0"/>
                <w:kern w:val="0"/>
                <w:sz w:val="24"/>
                <w:szCs w:val="24"/>
                <w:highlight w:val="none"/>
              </w:rPr>
              <w:t>项目（</w:t>
            </w:r>
            <w:r>
              <w:rPr>
                <w:rFonts w:hint="eastAsia" w:ascii="黑体" w:hAnsi="黑体" w:eastAsia="黑体" w:cs="黑体"/>
                <w:b w:val="0"/>
                <w:bCs w:val="0"/>
                <w:spacing w:val="0"/>
                <w:kern w:val="0"/>
                <w:sz w:val="24"/>
                <w:szCs w:val="24"/>
                <w:highlight w:val="none"/>
                <w:lang w:val="en-US" w:eastAsia="zh-CN"/>
              </w:rPr>
              <w:t>8</w:t>
            </w:r>
            <w:r>
              <w:rPr>
                <w:rFonts w:hint="eastAsia" w:ascii="黑体" w:hAnsi="黑体" w:eastAsia="黑体" w:cs="黑体"/>
                <w:b w:val="0"/>
                <w:bCs w:val="0"/>
                <w:color w:val="000000"/>
                <w:spacing w:val="0"/>
                <w:kern w:val="0"/>
                <w:sz w:val="24"/>
                <w:szCs w:val="24"/>
                <w:highlight w:val="none"/>
                <w:lang w:val="en-US" w:eastAsia="zh-CN"/>
              </w:rPr>
              <w:t>项，5分</w:t>
            </w:r>
            <w:r>
              <w:rPr>
                <w:rFonts w:hint="eastAsia" w:ascii="黑体" w:hAnsi="黑体" w:eastAsia="黑体" w:cs="黑体"/>
                <w:b w:val="0"/>
                <w:bCs w:val="0"/>
                <w:color w:val="000000"/>
                <w:spacing w:val="0"/>
                <w:kern w:val="0"/>
                <w:sz w:val="24"/>
                <w:szCs w:val="24"/>
                <w:highlight w:val="none"/>
                <w:lang w:eastAsia="zh-CN"/>
              </w:rPr>
              <w:t>）</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FF0000"/>
                <w:spacing w:val="0"/>
                <w:kern w:val="0"/>
                <w:sz w:val="24"/>
                <w:szCs w:val="24"/>
                <w:highlight w:val="none"/>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*1.1</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依法进行备案</w:t>
            </w:r>
            <w:r>
              <w:rPr>
                <w:rFonts w:hint="eastAsia" w:ascii="仿宋_GB2312" w:hAnsi="仿宋_GB2312" w:eastAsia="仿宋_GB2312" w:cs="仿宋_GB2312"/>
                <w:color w:val="000000"/>
                <w:spacing w:val="0"/>
                <w:kern w:val="0"/>
                <w:sz w:val="24"/>
                <w:szCs w:val="24"/>
                <w:highlight w:val="none"/>
                <w:lang w:eastAsia="zh-CN"/>
              </w:rPr>
              <w:t>，</w:t>
            </w:r>
            <w:r>
              <w:rPr>
                <w:rFonts w:hint="eastAsia" w:ascii="仿宋_GB2312" w:hAnsi="仿宋_GB2312" w:eastAsia="仿宋_GB2312" w:cs="仿宋_GB2312"/>
                <w:color w:val="000000"/>
                <w:spacing w:val="0"/>
                <w:kern w:val="0"/>
                <w:sz w:val="24"/>
                <w:szCs w:val="24"/>
                <w:highlight w:val="none"/>
              </w:rPr>
              <w:t>仅从事预包装食品销售活动，且未开展超出备案范围的其他食品经营活动。</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FF0000"/>
                <w:spacing w:val="0"/>
                <w:kern w:val="0"/>
                <w:sz w:val="24"/>
                <w:szCs w:val="24"/>
                <w:highlight w:val="none"/>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*1.2</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具有与销售的食品品种、数量相适应的售卖、贮存等场所。</w:t>
            </w:r>
            <w:r>
              <w:rPr>
                <w:rFonts w:hint="eastAsia" w:ascii="仿宋_GB2312" w:hAnsi="仿宋_GB2312" w:eastAsia="仿宋_GB2312" w:cs="仿宋_GB2312"/>
                <w:color w:val="000000"/>
                <w:spacing w:val="0"/>
                <w:kern w:val="0"/>
                <w:sz w:val="24"/>
                <w:szCs w:val="24"/>
                <w:highlight w:val="none"/>
                <w:lang w:eastAsia="zh-CN"/>
              </w:rPr>
              <w:t>食品售卖、贮存场所等应具有合理的区域设置、设施设备布局以及相应的操作流程，将食品售卖场所、贮存场所与生活区隔离开，避免食品接触有毒物、不洁物，防止交叉污染。</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*1.3</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查验食品供货者的许可证</w:t>
            </w:r>
            <w:r>
              <w:rPr>
                <w:rFonts w:hint="eastAsia" w:ascii="仿宋_GB2312" w:hAnsi="仿宋_GB2312" w:eastAsia="仿宋_GB2312" w:cs="仿宋_GB2312"/>
                <w:color w:val="000000"/>
                <w:spacing w:val="0"/>
                <w:kern w:val="0"/>
                <w:sz w:val="24"/>
                <w:szCs w:val="24"/>
                <w:highlight w:val="none"/>
                <w:lang w:eastAsia="zh-CN"/>
              </w:rPr>
              <w:t>（或备案信息采集表）</w:t>
            </w:r>
            <w:r>
              <w:rPr>
                <w:rFonts w:hint="eastAsia" w:ascii="仿宋_GB2312" w:hAnsi="仿宋_GB2312" w:eastAsia="仿宋_GB2312" w:cs="仿宋_GB2312"/>
                <w:color w:val="000000"/>
                <w:spacing w:val="0"/>
                <w:kern w:val="0"/>
                <w:sz w:val="24"/>
                <w:szCs w:val="24"/>
                <w:highlight w:val="none"/>
              </w:rPr>
              <w:t>和食品出厂检验合格证或其他合格证明，也可以通过省级部门食品安全信息追溯系统及时接收确认供货者推送的追溯信息。记录和凭证保存期限不少于产品保质期满后六个月；没有明确保质期的，保存期限不少于二年（从进货日起计）</w:t>
            </w:r>
            <w:r>
              <w:rPr>
                <w:rFonts w:hint="eastAsia" w:ascii="仿宋_GB2312" w:hAnsi="仿宋_GB2312" w:eastAsia="仿宋_GB2312" w:cs="仿宋_GB2312"/>
                <w:color w:val="000000"/>
                <w:spacing w:val="0"/>
                <w:kern w:val="0"/>
                <w:sz w:val="24"/>
                <w:szCs w:val="24"/>
                <w:highlight w:val="none"/>
                <w:lang w:eastAsia="zh-CN"/>
              </w:rPr>
              <w:t>。</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*1.4</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普通食品未与特殊食品、药品混放销售</w:t>
            </w:r>
            <w:r>
              <w:rPr>
                <w:rFonts w:hint="eastAsia" w:ascii="仿宋_GB2312" w:hAnsi="仿宋_GB2312" w:eastAsia="仿宋_GB2312" w:cs="仿宋_GB2312"/>
                <w:color w:val="000000"/>
                <w:spacing w:val="0"/>
                <w:kern w:val="0"/>
                <w:sz w:val="24"/>
                <w:szCs w:val="24"/>
                <w:highlight w:val="none"/>
                <w:lang w:eastAsia="zh-CN"/>
              </w:rPr>
              <w:t>，</w:t>
            </w:r>
            <w:r>
              <w:rPr>
                <w:rFonts w:hint="eastAsia" w:ascii="仿宋_GB2312" w:hAnsi="仿宋_GB2312" w:eastAsia="仿宋_GB2312" w:cs="仿宋_GB2312"/>
                <w:color w:val="000000"/>
                <w:spacing w:val="0"/>
                <w:kern w:val="0"/>
                <w:sz w:val="24"/>
                <w:szCs w:val="24"/>
                <w:highlight w:val="none"/>
              </w:rPr>
              <w:t>与特殊食品之间、与药品之间有明显的隔离标识或保持一定距离摆放。</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*1.5</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临近保质期的食品分类管理，作特别标示或者集中陈列摆放。</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w:t>
            </w:r>
            <w:r>
              <w:rPr>
                <w:rFonts w:hint="eastAsia" w:ascii="仿宋_GB2312" w:hAnsi="仿宋_GB2312" w:eastAsia="仿宋_GB2312" w:cs="仿宋_GB2312"/>
                <w:b/>
                <w:bCs/>
                <w:color w:val="000000"/>
                <w:spacing w:val="0"/>
                <w:kern w:val="0"/>
                <w:sz w:val="24"/>
                <w:szCs w:val="24"/>
                <w:highlight w:val="none"/>
                <w:lang w:val="en-US" w:eastAsia="zh-CN" w:bidi="ar-SA"/>
              </w:rPr>
              <w:t>1.6</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在销售场所显著位置设置不向未成年人销售酒的标志，未向未成年人销售酒。</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84"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*1.7</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未发现法律法规禁止销售的食品：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1.腐败变质、油脂酸败、霉变生虫、污秽不洁、混有异物、掺假掺杂或者感官性状异常的食品、食品添加剂；</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2.标注虚假生产日期、保质期或者超过保质期的食品；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3.无标签的预包装食品、食品添加剂；</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4.超范围、超限量使用食品添加剂的食品；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5.营养成分不符合食品安全标准的专供婴幼儿和其他特定人群的主辅食品；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6.用非食品原料生产的食品或者添加食品添加剂以外的化学物质和其他可能危害人体健康物质的食品，或者用回收食品作为原料生产的食品；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7.病死、毒死或者死因不明的禽、畜、兽、水产动物肉类及其制品；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8.未按规定进行检疫或者检疫不合格的肉类，或者未经检验或者检验不合格的肉类制品；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9.被包装材料、容器、运输工具等污染的食品、食品添加剂；</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10.致病性微生物，农药残留、兽药残留、生物毒素、重金属等污染物质以及其他危害人体健康的物质含量超过食品安全标准限量的食品、食品添加剂、食品相关产品；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11.用超过保质期的食品原料、食品添加剂生产的食品、食品添加剂；</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12.国家为防病等特殊需要明令禁止销售的食品以及其他禁止销售的食品；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13.含金银箔粉食品；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14.标示为“配制酱油”“配制食醋”的产品；</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15.无实体门店的入网食品销售者销售制售类食品以及散装熟食；</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16.向未成年人销售酒类；</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17.其他不符合法律、法规或者食品安全标准的食品、食品添加剂。</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3.4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3" w:hRule="atLeast"/>
          <w:jc w:val="center"/>
        </w:trPr>
        <w:tc>
          <w:tcPr>
            <w:tcW w:w="135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*1.8</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bidi="ar-SA"/>
              </w:rPr>
            </w:pPr>
            <w:r>
              <w:rPr>
                <w:rFonts w:hint="eastAsia" w:ascii="仿宋_GB2312" w:hAnsi="仿宋_GB2312" w:eastAsia="仿宋_GB2312" w:cs="仿宋_GB2312"/>
                <w:spacing w:val="0"/>
                <w:kern w:val="0"/>
                <w:sz w:val="24"/>
                <w:szCs w:val="24"/>
                <w:highlight w:val="none"/>
                <w:u w:val="none" w:color="FF0000"/>
              </w:rPr>
              <w:t>按照标签标示或相关标准的温度等要求售卖、贮存、运输冷藏冷冻食品及其他有温度、湿度等要求的食品。</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173" w:type="dxa"/>
            <w:gridSpan w:val="7"/>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黑体" w:hAnsi="黑体" w:eastAsia="黑体" w:cs="黑体"/>
                <w:b w:val="0"/>
                <w:bCs w:val="0"/>
                <w:spacing w:val="0"/>
                <w:kern w:val="0"/>
                <w:sz w:val="24"/>
                <w:szCs w:val="24"/>
                <w:highlight w:val="none"/>
              </w:rPr>
              <w:t>食品通用检查项目（</w:t>
            </w:r>
            <w:r>
              <w:rPr>
                <w:rFonts w:hint="eastAsia" w:ascii="黑体" w:hAnsi="黑体" w:eastAsia="黑体" w:cs="黑体"/>
                <w:b w:val="0"/>
                <w:bCs w:val="0"/>
                <w:spacing w:val="0"/>
                <w:kern w:val="0"/>
                <w:sz w:val="24"/>
                <w:szCs w:val="24"/>
                <w:highlight w:val="none"/>
                <w:lang w:val="en-US" w:eastAsia="zh-CN"/>
              </w:rPr>
              <w:t>39</w:t>
            </w:r>
            <w:r>
              <w:rPr>
                <w:rFonts w:hint="eastAsia" w:ascii="黑体" w:hAnsi="黑体" w:eastAsia="黑体" w:cs="黑体"/>
                <w:b w:val="0"/>
                <w:bCs w:val="0"/>
                <w:color w:val="000000"/>
                <w:spacing w:val="0"/>
                <w:kern w:val="0"/>
                <w:sz w:val="24"/>
                <w:szCs w:val="24"/>
                <w:highlight w:val="none"/>
                <w:lang w:val="en-US" w:eastAsia="zh-CN"/>
              </w:rPr>
              <w:t>项，10分</w:t>
            </w:r>
            <w:r>
              <w:rPr>
                <w:rFonts w:hint="eastAsia" w:ascii="黑体" w:hAnsi="黑体" w:eastAsia="黑体" w:cs="黑体"/>
                <w:b w:val="0"/>
                <w:bCs w:val="0"/>
                <w:color w:val="000000"/>
                <w:spacing w:val="0"/>
                <w:kern w:val="0"/>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shd w:val="clear" w:color="auto" w:fill="auto"/>
            <w:vAlign w:val="center"/>
          </w:tcPr>
          <w:p>
            <w:pPr>
              <w:pStyle w:val="16"/>
              <w:keepNext w:val="0"/>
              <w:keepLines w:val="0"/>
              <w:pageBreakBefore w:val="0"/>
              <w:widowControl w:val="0"/>
              <w:kinsoku/>
              <w:wordWrap/>
              <w:overflowPunct w:val="0"/>
              <w:topLinePunct w:val="0"/>
              <w:autoSpaceDE/>
              <w:autoSpaceDN/>
              <w:bidi w:val="0"/>
              <w:adjustRightInd w:val="0"/>
              <w:snapToGrid w:val="0"/>
              <w:spacing w:line="240" w:lineRule="auto"/>
              <w:ind w:left="0" w:leftChars="0" w:right="0" w:rightChars="0"/>
              <w:jc w:val="center"/>
              <w:textAlignment w:val="baseline"/>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2.食品安全自查</w:t>
            </w: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*2.1</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both"/>
              <w:textAlignment w:val="center"/>
              <w:rPr>
                <w:rFonts w:hint="eastAsia" w:ascii="仿宋_GB2312" w:hAnsi="仿宋_GB2312" w:eastAsia="仿宋_GB2312" w:cs="仿宋_GB2312"/>
                <w:bCs/>
                <w:color w:val="000000"/>
                <w:spacing w:val="0"/>
                <w:kern w:val="0"/>
                <w:sz w:val="24"/>
                <w:szCs w:val="24"/>
                <w:highlight w:val="none"/>
                <w:lang w:val="en-US" w:eastAsia="zh-CN" w:bidi="ar-SA"/>
              </w:rPr>
            </w:pPr>
            <w:r>
              <w:rPr>
                <w:rFonts w:hint="eastAsia" w:ascii="仿宋_GB2312" w:hAnsi="仿宋_GB2312" w:eastAsia="仿宋_GB2312" w:cs="仿宋_GB2312"/>
                <w:bCs/>
                <w:color w:val="000000"/>
                <w:spacing w:val="0"/>
                <w:kern w:val="0"/>
                <w:sz w:val="24"/>
                <w:szCs w:val="24"/>
                <w:highlight w:val="none"/>
              </w:rPr>
              <w:t>具有</w:t>
            </w:r>
            <w:r>
              <w:rPr>
                <w:rFonts w:hint="eastAsia" w:ascii="仿宋_GB2312" w:hAnsi="仿宋_GB2312" w:eastAsia="仿宋_GB2312" w:cs="仿宋_GB2312"/>
                <w:bCs/>
                <w:color w:val="000000"/>
                <w:spacing w:val="0"/>
                <w:kern w:val="0"/>
                <w:sz w:val="24"/>
                <w:szCs w:val="24"/>
                <w:highlight w:val="none"/>
                <w:lang w:eastAsia="zh-CN"/>
              </w:rPr>
              <w:t>并落实</w:t>
            </w:r>
            <w:r>
              <w:rPr>
                <w:rFonts w:hint="eastAsia" w:ascii="仿宋_GB2312" w:hAnsi="仿宋_GB2312" w:eastAsia="仿宋_GB2312" w:cs="仿宋_GB2312"/>
                <w:bCs/>
                <w:color w:val="000000"/>
                <w:spacing w:val="0"/>
                <w:kern w:val="0"/>
                <w:sz w:val="24"/>
                <w:szCs w:val="24"/>
                <w:highlight w:val="none"/>
              </w:rPr>
              <w:t>食品安全自查制度。</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spacing w:val="0"/>
                <w:kern w:val="0"/>
                <w:sz w:val="24"/>
                <w:szCs w:val="24"/>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仿宋_GB2312" w:hAnsi="仿宋_GB2312" w:eastAsia="仿宋_GB2312" w:cs="仿宋_GB2312"/>
                <w:spacing w:val="0"/>
                <w:kern w:val="0"/>
                <w:sz w:val="24"/>
                <w:szCs w:val="24"/>
                <w:lang w:val="en-US" w:eastAsia="zh-CN" w:bidi="ar-SA"/>
              </w:rPr>
            </w:pPr>
            <w:r>
              <w:rPr>
                <w:rFonts w:hint="eastAsia" w:ascii="仿宋_GB2312" w:hAnsi="仿宋_GB2312" w:eastAsia="仿宋_GB2312" w:cs="仿宋_GB2312"/>
                <w:spacing w:val="0"/>
                <w:kern w:val="0"/>
                <w:sz w:val="24"/>
                <w:szCs w:val="24"/>
                <w:lang w:val="en-US" w:eastAsia="zh-CN" w:bidi="ar-SA"/>
              </w:rPr>
              <w:t>0.3</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*2.2</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both"/>
              <w:textAlignment w:val="center"/>
              <w:rPr>
                <w:rFonts w:hint="eastAsia" w:ascii="仿宋_GB2312" w:hAnsi="仿宋_GB2312" w:eastAsia="仿宋_GB2312" w:cs="仿宋_GB2312"/>
                <w:bCs/>
                <w:color w:val="000000"/>
                <w:spacing w:val="0"/>
                <w:kern w:val="0"/>
                <w:sz w:val="24"/>
                <w:szCs w:val="24"/>
                <w:highlight w:val="none"/>
                <w:lang w:val="en-US" w:eastAsia="zh-CN" w:bidi="ar-SA"/>
              </w:rPr>
            </w:pPr>
            <w:r>
              <w:rPr>
                <w:rFonts w:hint="eastAsia" w:ascii="仿宋_GB2312" w:hAnsi="仿宋_GB2312" w:eastAsia="仿宋_GB2312" w:cs="仿宋_GB2312"/>
                <w:bCs/>
                <w:color w:val="000000"/>
                <w:spacing w:val="0"/>
                <w:kern w:val="0"/>
                <w:sz w:val="24"/>
                <w:szCs w:val="24"/>
                <w:highlight w:val="none"/>
              </w:rPr>
              <w:t>按照制度要求定期对采购、售卖、贮存、运输等过程的食品安全状况以及食品安全管理情况进行检查评价。</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spacing w:val="0"/>
                <w:kern w:val="0"/>
                <w:sz w:val="24"/>
                <w:szCs w:val="24"/>
                <w:lang w:val="en-US" w:eastAsia="zh-CN" w:bidi="ar-SA"/>
              </w:rPr>
              <w:t>0.3</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*2.3</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both"/>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经营条件发生变化或自查发现问题，不符合食品安全要求的，立即采取整改措施。</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spacing w:val="0"/>
                <w:kern w:val="0"/>
                <w:sz w:val="24"/>
                <w:szCs w:val="24"/>
                <w:lang w:val="en-US" w:eastAsia="zh-CN" w:bidi="ar-SA"/>
              </w:rPr>
              <w:t>0.3</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2.4</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自查发现食品安全事故潜在风险时，立即停止经营活动并向所在地市场监督管理部门报告。</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spacing w:val="0"/>
                <w:kern w:val="0"/>
                <w:sz w:val="24"/>
                <w:szCs w:val="24"/>
                <w:lang w:val="en-US" w:eastAsia="zh-CN" w:bidi="ar-SA"/>
              </w:rPr>
              <w:t>0.3</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2.5</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通过网络从事食品经营活动的，按照法律法规规定落实各项食品安全主体责任。</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3.食品安全追溯体系</w:t>
            </w: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3.1</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具有食品安全追溯体系，按照法律法规规定如实记录并保存进货查验、食品销售等信息，保证食品可追溯。</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4.从业人员管理</w:t>
            </w: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auto"/>
                <w:spacing w:val="0"/>
                <w:kern w:val="0"/>
                <w:sz w:val="24"/>
                <w:szCs w:val="24"/>
                <w:highlight w:val="none"/>
                <w:lang w:val="en-US" w:eastAsia="zh-CN" w:bidi="ar-SA"/>
              </w:rPr>
            </w:pPr>
            <w:r>
              <w:rPr>
                <w:rFonts w:hint="eastAsia" w:ascii="仿宋_GB2312" w:hAnsi="仿宋_GB2312" w:eastAsia="仿宋_GB2312" w:cs="仿宋_GB2312"/>
                <w:b/>
                <w:bCs/>
                <w:color w:val="auto"/>
                <w:spacing w:val="0"/>
                <w:kern w:val="0"/>
                <w:sz w:val="24"/>
                <w:szCs w:val="24"/>
                <w:highlight w:val="none"/>
                <w:lang w:val="en-US" w:eastAsia="zh-CN"/>
              </w:rPr>
              <w:t>4.1</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具有并落实从业人员健康管理制度。</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auto"/>
                <w:spacing w:val="0"/>
                <w:kern w:val="0"/>
                <w:sz w:val="24"/>
                <w:szCs w:val="24"/>
                <w:highlight w:val="none"/>
                <w:lang w:val="en-US" w:eastAsia="zh-CN"/>
              </w:rPr>
            </w:pPr>
            <w:r>
              <w:rPr>
                <w:rFonts w:hint="eastAsia" w:ascii="仿宋_GB2312" w:hAnsi="仿宋_GB2312" w:eastAsia="仿宋_GB2312" w:cs="仿宋_GB2312"/>
                <w:b/>
                <w:bCs/>
                <w:color w:val="auto"/>
                <w:spacing w:val="0"/>
                <w:kern w:val="0"/>
                <w:sz w:val="24"/>
                <w:szCs w:val="24"/>
                <w:highlight w:val="none"/>
                <w:lang w:val="en-US" w:eastAsia="zh-CN"/>
              </w:rPr>
              <w:t>4.2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未发现法律法规规定的禁止从业行为：</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val="en-US" w:eastAsia="zh-CN"/>
              </w:rPr>
              <w:t>1.</w:t>
            </w:r>
            <w:r>
              <w:rPr>
                <w:rFonts w:hint="eastAsia" w:ascii="仿宋_GB2312" w:hAnsi="仿宋_GB2312" w:eastAsia="仿宋_GB2312" w:cs="仿宋_GB2312"/>
                <w:color w:val="000000"/>
                <w:spacing w:val="0"/>
                <w:kern w:val="0"/>
                <w:sz w:val="24"/>
                <w:szCs w:val="24"/>
                <w:highlight w:val="none"/>
                <w:lang w:eastAsia="zh-CN"/>
              </w:rPr>
              <w:t>被吊销许可证的食品生产经营者及其法定代表人、直接负责的主管人员和其他直接责任人员自处罚决定作出之日起五年内申请食品经营许可，或者从事食品销售管理工作、担任食品销售企业食品安全管理人员。</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val="en-US" w:eastAsia="zh-CN"/>
              </w:rPr>
              <w:t>2.</w:t>
            </w:r>
            <w:r>
              <w:rPr>
                <w:rFonts w:hint="eastAsia" w:ascii="仿宋_GB2312" w:hAnsi="仿宋_GB2312" w:eastAsia="仿宋_GB2312" w:cs="仿宋_GB2312"/>
                <w:color w:val="000000"/>
                <w:spacing w:val="0"/>
                <w:kern w:val="0"/>
                <w:sz w:val="24"/>
                <w:szCs w:val="24"/>
                <w:highlight w:val="none"/>
                <w:lang w:eastAsia="zh-CN"/>
              </w:rPr>
              <w:t>因食品安全犯罪被判处有期徒刑以上刑罚的，从事食品销售管理工作，担任食品销售企业食品安全管理人员。</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rPr>
            </w:pPr>
            <w:r>
              <w:rPr>
                <w:rFonts w:hint="eastAsia" w:ascii="仿宋_GB2312" w:hAnsi="仿宋_GB2312" w:eastAsia="仿宋_GB2312" w:cs="仿宋_GB2312"/>
                <w:b/>
                <w:bCs/>
                <w:color w:val="000000"/>
                <w:spacing w:val="0"/>
                <w:kern w:val="0"/>
                <w:sz w:val="24"/>
                <w:szCs w:val="24"/>
                <w:highlight w:val="none"/>
                <w:lang w:val="en-US" w:eastAsia="zh-CN"/>
              </w:rPr>
              <w:t>5.备案管理</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5.1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经营场所地址与备案信息采集表载明内容一致。</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rPr>
            </w:pPr>
            <w:r>
              <w:rPr>
                <w:rFonts w:hint="eastAsia" w:ascii="仿宋_GB2312" w:hAnsi="仿宋_GB2312" w:eastAsia="仿宋_GB2312" w:cs="仿宋_GB2312"/>
                <w:b/>
                <w:bCs/>
                <w:color w:val="000000"/>
                <w:spacing w:val="0"/>
                <w:kern w:val="0"/>
                <w:sz w:val="24"/>
                <w:szCs w:val="24"/>
                <w:highlight w:val="none"/>
                <w:u w:val="none" w:color="FF0000"/>
                <w:lang w:val="en-US" w:eastAsia="zh-CN"/>
              </w:rPr>
              <w:t>5.2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u w:val="none" w:color="FF0000"/>
              </w:rPr>
            </w:pPr>
            <w:r>
              <w:rPr>
                <w:rFonts w:hint="eastAsia" w:ascii="仿宋_GB2312" w:hAnsi="仿宋_GB2312" w:eastAsia="仿宋_GB2312" w:cs="仿宋_GB2312"/>
                <w:color w:val="000000"/>
                <w:spacing w:val="0"/>
                <w:kern w:val="0"/>
                <w:sz w:val="24"/>
                <w:szCs w:val="24"/>
                <w:highlight w:val="none"/>
                <w:u w:val="none" w:color="FF0000"/>
              </w:rPr>
              <w:t>备案信息采集表载明的经营者名称、法定代表人（负责人）与营业执照一致。</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5.3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u w:val="none" w:color="FF0000"/>
              </w:rPr>
            </w:pPr>
            <w:r>
              <w:rPr>
                <w:rFonts w:hint="eastAsia" w:ascii="仿宋_GB2312" w:hAnsi="仿宋_GB2312" w:eastAsia="仿宋_GB2312" w:cs="仿宋_GB2312"/>
                <w:color w:val="000000"/>
                <w:spacing w:val="0"/>
                <w:kern w:val="0"/>
                <w:sz w:val="24"/>
                <w:szCs w:val="24"/>
                <w:highlight w:val="none"/>
                <w:u w:val="none" w:color="FF0000"/>
              </w:rPr>
              <w:t>备案的外设仓库、经营种类、销售方式、网络经营情况、使用自动设备情况、连锁经营情况与备案信息采集表中相关内容相符。</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6"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r>
              <w:rPr>
                <w:rFonts w:hint="eastAsia" w:ascii="仿宋_GB2312" w:hAnsi="仿宋_GB2312" w:eastAsia="仿宋_GB2312" w:cs="仿宋_GB2312"/>
                <w:b/>
                <w:bCs/>
                <w:color w:val="000000"/>
                <w:spacing w:val="0"/>
                <w:kern w:val="0"/>
                <w:sz w:val="24"/>
                <w:szCs w:val="24"/>
                <w:highlight w:val="none"/>
                <w:lang w:val="en-US" w:eastAsia="zh-CN"/>
              </w:rPr>
              <w:t>5.备案管理</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5.4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通过第三方平台进行交易的食品销售者，在其经营活动主页面显著位置公示相关备案信息。</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5"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5.5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通过自建网站交易的食品销售者，在其网站首页显著位置公示相关备案信息。</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6"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5.6</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未发现法律法规规定的禁止性行为：</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1.伪造、涂改、倒卖、出租、出借、转让备案编号；</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2.未取得备案，开展食品销售活动。</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0.6</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9"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r>
              <w:rPr>
                <w:rFonts w:hint="eastAsia" w:ascii="仿宋_GB2312" w:hAnsi="仿宋_GB2312" w:eastAsia="仿宋_GB2312" w:cs="仿宋_GB2312"/>
                <w:b/>
                <w:bCs/>
                <w:color w:val="000000"/>
                <w:spacing w:val="0"/>
                <w:kern w:val="0"/>
                <w:sz w:val="24"/>
                <w:szCs w:val="24"/>
                <w:highlight w:val="none"/>
                <w:lang w:val="en-US" w:eastAsia="zh-CN"/>
              </w:rPr>
              <w:t>6.场所及布局</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6.1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保持场所环境整洁卫生。有良好的通风、排气装置，并避免日光直接照射。地面硬化，平坦防滑并易于清洁消毒，有适当措施防止积水、积霜。</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6"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6.2</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食品售卖、贮存等场所未设在易受到污染区域，距离粪坑、污水池、暴露垃圾场（站）、旱厕等污染源25米以上。</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1"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6.3</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食品分类分架、离墙离地放置，未将食品挤压堆放，能有效防止虫害隐匿、利于空气流通。食品与墙壁、地面间距不少于10cm。</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2"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7.设施设备</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7.1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具有与销售的食品品种、数量相适应的设施设备，配备相适应的消毒、更衣、盥洗、采光、照明、通风、防腐、防尘、防蝇、防鼠、防虫、洗涤以及处理废水、存放垃圾和废弃物的设施设备。</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7.2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设施设备定期清洁、校准、维护，能够持续有效运行。</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1"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7.3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配备设计合理、防止渗漏、易于清洁的废弃物存放专用设施，必要时在适当地点设置废弃物临时存放设施，废弃物存放设施和容器标识清晰并及时处理。</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7.4</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用水符合国家规定的生活饮用水卫生标准。</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7.5</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使用的洗涤剂、消毒剂对人体安全、无害。</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r>
              <w:rPr>
                <w:rFonts w:hint="eastAsia" w:ascii="仿宋_GB2312" w:hAnsi="仿宋_GB2312" w:eastAsia="仿宋_GB2312" w:cs="仿宋_GB2312"/>
                <w:b/>
                <w:bCs/>
                <w:color w:val="000000"/>
                <w:spacing w:val="0"/>
                <w:kern w:val="0"/>
                <w:sz w:val="24"/>
                <w:szCs w:val="24"/>
                <w:highlight w:val="none"/>
                <w:lang w:val="en-US" w:eastAsia="zh-CN"/>
              </w:rPr>
              <w:t>8.进货查验情况</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8.1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查验所采购食品、食品添加剂的感官性状等质量安全状况。</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3"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*8.2</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预包装食品包装上有标签。标签标明的内容符合法律、法规以及食品安全标准规定的各类事项。</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8"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8.3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标签、说明书清楚、明显，生产日期、保质期等事项显著标注，容易辨识，转基因食品按照规定显著标示，经电离辐射线或电离能量处理过的食品，在食品名称附近标示“辐照食品”。</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02"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*8.4</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lang w:eastAsia="zh-CN"/>
              </w:rPr>
              <w:t>标签、说明书</w:t>
            </w:r>
            <w:r>
              <w:rPr>
                <w:rFonts w:hint="eastAsia" w:ascii="仿宋_GB2312" w:hAnsi="仿宋_GB2312" w:eastAsia="仿宋_GB2312" w:cs="仿宋_GB2312"/>
                <w:color w:val="000000"/>
                <w:spacing w:val="0"/>
                <w:kern w:val="0"/>
                <w:sz w:val="24"/>
                <w:szCs w:val="24"/>
                <w:highlight w:val="none"/>
              </w:rPr>
              <w:t>未发现法律法规规定的禁止行为：</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1.标签、说明书有虚假内容，涉及疾病预防、治疗功能；</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2.食品和食品添加剂与其标签、说明书的内容不符；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3.保健食品之外的食品的标签、说明书声称具有保健功能；</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4.进口的预包装食品、食品添加剂没有中文标签、中文说明书或者标签、说明书不符合法律法规标准相关规定。</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0.8</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r>
              <w:rPr>
                <w:rFonts w:hint="eastAsia" w:ascii="仿宋_GB2312" w:hAnsi="仿宋_GB2312" w:eastAsia="仿宋_GB2312" w:cs="仿宋_GB2312"/>
                <w:b/>
                <w:bCs/>
                <w:color w:val="000000"/>
                <w:spacing w:val="0"/>
                <w:kern w:val="0"/>
                <w:sz w:val="24"/>
                <w:szCs w:val="24"/>
                <w:highlight w:val="none"/>
                <w:lang w:val="en-US" w:eastAsia="zh-CN"/>
              </w:rPr>
              <w:t>9.食品售卖管理</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*9.1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食品与非食品盛放容器未混用。</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52"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9.2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销售食品盲盒的，特别是临近保质期食品以盲盒形式销售的，以产品标注、在醒目位置进行消费提示等方式，告知消费者盲盒中的食品名称、成分或配料表、贮存条件、生产日期、保质期、生产者名称等食品安全基本信息。</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6"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*9.3</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食品广告或宣传的内容真实合法。未发现含有虚假内容，未发现涉及疾病预防、散布虚假食品安全信息。</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9"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*9.4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未发现利用包括会议、讲座、健康咨询在内的任何方式对食品进行虚假宣传；未发现编造、散布虚假食品安全信息。</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eastAsia="zh-CN"/>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10.贮存过程控制</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10.1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食品贮存设专门区域。</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6"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*10.2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食品与非食品有适当的分隔措施，有固定的存放位置和标识。贮存容器、工具、设备安全无害，保持清洁，未混用。未与有毒有害物品同库存放。</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10.3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清洁剂、消毒剂、杀虫剂等分别包装，明确标识，并与食品及包装材料分隔放置。</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w:t>
            </w: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否</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6"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*10.4</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遵循先进先出的原则，定期检查库存食品，及时处理变质或超过保质期的食品。</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0.8</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3"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10.5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外设仓库</w:t>
            </w:r>
            <w:r>
              <w:rPr>
                <w:rFonts w:hint="eastAsia" w:ascii="仿宋_GB2312" w:hAnsi="仿宋_GB2312" w:eastAsia="仿宋_GB2312" w:cs="仿宋_GB2312"/>
                <w:color w:val="000000"/>
                <w:spacing w:val="0"/>
                <w:kern w:val="0"/>
                <w:sz w:val="24"/>
                <w:szCs w:val="24"/>
                <w:highlight w:val="none"/>
                <w:lang w:eastAsia="zh-CN"/>
              </w:rPr>
              <w:t>（包括自有和租赁，下同）</w:t>
            </w:r>
            <w:r>
              <w:rPr>
                <w:rFonts w:hint="eastAsia" w:ascii="仿宋_GB2312" w:hAnsi="仿宋_GB2312" w:eastAsia="仿宋_GB2312" w:cs="仿宋_GB2312"/>
                <w:color w:val="000000"/>
                <w:spacing w:val="0"/>
                <w:kern w:val="0"/>
                <w:sz w:val="24"/>
                <w:szCs w:val="24"/>
                <w:highlight w:val="none"/>
              </w:rPr>
              <w:t>地址在开展相关经营活动之日起10个工作日内向发证地市场监督管理部门报告。外设仓库地址发生变化的，在变化后10个工作日内向原发证的市场监督管理部门报告。</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9"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11.日常监督检查结果处置</w:t>
            </w: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*11.1</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在经营场所醒目位置张贴或者公开展示监督检查结果记录表，并保持至下次监督检查。有条件的可以通过电子屏幕等信息化方式向消费者展示监督检查结果记录表。</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□是□否</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2"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11.2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对市场监督管理部门在监督检查中发现的风险隐患，按照市场监督管理部门要求，立即采取措施，进行整改，消除隐患。</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11.3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有发生食品安全事故潜在风险的，立即停止食品经营活动。</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0"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11.4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color w:val="000000"/>
                <w:spacing w:val="0"/>
                <w:kern w:val="0"/>
                <w:sz w:val="24"/>
                <w:szCs w:val="24"/>
                <w:highlight w:val="none"/>
              </w:rPr>
              <w:t>对市场监督管理部门在监督检查中发现食品不符合食品安全法律、法规、规章和食品安全标准的，及时追查相关食品的来源和流向，查明原因、控制风险，并根据需要通报相关市场监督管理部门。</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173" w:type="dxa"/>
            <w:gridSpan w:val="7"/>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黑体" w:hAnsi="黑体" w:eastAsia="黑体" w:cs="黑体"/>
                <w:b w:val="0"/>
                <w:bCs w:val="0"/>
                <w:color w:val="000000"/>
                <w:spacing w:val="0"/>
                <w:kern w:val="0"/>
                <w:sz w:val="24"/>
                <w:szCs w:val="24"/>
                <w:highlight w:val="none"/>
                <w:lang w:val="en-US" w:eastAsia="zh-CN"/>
              </w:rPr>
              <w:t>食品其他检查项目（94项，25分）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u w:val="none" w:color="FF0000"/>
                <w:lang w:val="en-US" w:eastAsia="zh-CN" w:bidi="ar-SA"/>
              </w:rPr>
            </w:pPr>
            <w:r>
              <w:rPr>
                <w:rFonts w:hint="eastAsia" w:ascii="仿宋_GB2312" w:hAnsi="仿宋_GB2312" w:eastAsia="仿宋_GB2312" w:cs="仿宋_GB2312"/>
                <w:b/>
                <w:bCs/>
                <w:color w:val="000000"/>
                <w:spacing w:val="0"/>
                <w:kern w:val="0"/>
                <w:sz w:val="24"/>
                <w:szCs w:val="24"/>
                <w:highlight w:val="none"/>
                <w:u w:val="none" w:color="FF0000"/>
                <w:lang w:val="en-US" w:eastAsia="zh-CN"/>
              </w:rPr>
              <w:t>12.冷藏、冷冻食品</w:t>
            </w: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*12.1</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具有冷藏冷冻食品全程温度记录制度。</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0.6</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12.2</w:t>
            </w:r>
          </w:p>
        </w:tc>
        <w:tc>
          <w:tcPr>
            <w:tcW w:w="7918" w:type="dxa"/>
            <w:tcBorders>
              <w:tl2br w:val="nil"/>
              <w:tr2bl w:val="nil"/>
            </w:tcBorders>
            <w:shd w:val="clear" w:color="auto" w:fill="auto"/>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配备与经营品种、数量相适应的冷藏、冷冻等设备设施。</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1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12.3</w:t>
            </w:r>
          </w:p>
        </w:tc>
        <w:tc>
          <w:tcPr>
            <w:tcW w:w="7918" w:type="dxa"/>
            <w:tcBorders>
              <w:tl2br w:val="nil"/>
              <w:tr2bl w:val="nil"/>
            </w:tcBorders>
            <w:shd w:val="clear" w:color="auto" w:fill="auto"/>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温湿度控制符合要求：</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1.需冷冻的食品运输过程温度、贮存环境温度不高于－18℃;</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2.需冷藏的食品运输过程温度、贮存环境温度为0℃</w:t>
            </w:r>
            <w:r>
              <w:rPr>
                <w:rFonts w:hint="eastAsia" w:ascii="仿宋_GB2312" w:hAnsi="仿宋_GB2312" w:eastAsia="仿宋_GB2312" w:cs="仿宋_GB2312"/>
                <w:i w:val="0"/>
                <w:iCs w:val="0"/>
                <w:caps w:val="0"/>
                <w:color w:val="333333"/>
                <w:spacing w:val="0"/>
                <w:kern w:val="0"/>
                <w:sz w:val="24"/>
                <w:szCs w:val="24"/>
                <w:shd w:val="clear" w:fill="FFFFFF"/>
              </w:rPr>
              <w:t>~</w:t>
            </w:r>
            <w:r>
              <w:rPr>
                <w:rFonts w:hint="eastAsia" w:ascii="仿宋_GB2312" w:hAnsi="仿宋_GB2312" w:eastAsia="仿宋_GB2312" w:cs="仿宋_GB2312"/>
                <w:color w:val="000000"/>
                <w:spacing w:val="0"/>
                <w:kern w:val="0"/>
                <w:sz w:val="24"/>
                <w:szCs w:val="24"/>
                <w:highlight w:val="none"/>
                <w:lang w:eastAsia="zh-CN"/>
              </w:rPr>
              <w:t>10℃;</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3.对有特殊温度要求的，或标签标识上标明温度条件的食品，在售卖、贮存、运输等过程中满足相应的温度要求；</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4.对有湿度要求的食品，满足相应的湿度要求。</w:t>
            </w:r>
            <w:r>
              <w:rPr>
                <w:rFonts w:hint="eastAsia" w:ascii="仿宋_GB2312" w:hAnsi="仿宋_GB2312" w:eastAsia="仿宋_GB2312" w:cs="仿宋_GB2312"/>
                <w:color w:val="000000"/>
                <w:spacing w:val="0"/>
                <w:kern w:val="0"/>
                <w:sz w:val="24"/>
                <w:szCs w:val="24"/>
                <w:highlight w:val="none"/>
                <w:lang w:eastAsia="zh-CN"/>
              </w:rPr>
              <w:tab/>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0.8</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12.4</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spacing w:val="0"/>
                <w:kern w:val="0"/>
                <w:sz w:val="24"/>
                <w:szCs w:val="24"/>
                <w:highlight w:val="none"/>
                <w:u w:val="none" w:color="FF0000"/>
              </w:rPr>
              <w:t>冷</w:t>
            </w:r>
            <w:r>
              <w:rPr>
                <w:rFonts w:hint="eastAsia" w:ascii="仿宋_GB2312" w:hAnsi="仿宋_GB2312" w:eastAsia="仿宋_GB2312" w:cs="仿宋_GB2312"/>
                <w:color w:val="000000"/>
                <w:spacing w:val="0"/>
                <w:kern w:val="0"/>
                <w:sz w:val="24"/>
                <w:szCs w:val="24"/>
                <w:highlight w:val="none"/>
                <w:lang w:eastAsia="zh-CN"/>
              </w:rPr>
              <w:t>藏冷冻食品与库房墙壁、地面间距不少于10cm。</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12.5</w:t>
            </w:r>
          </w:p>
        </w:tc>
        <w:tc>
          <w:tcPr>
            <w:tcW w:w="7918" w:type="dxa"/>
            <w:tcBorders>
              <w:tl2br w:val="nil"/>
              <w:tr2bl w:val="nil"/>
            </w:tcBorders>
            <w:shd w:val="clear" w:color="auto" w:fill="auto"/>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对有温度、湿度等特殊要求的食品，未以盲盒形式销售。</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13.食用农产品</w:t>
            </w: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13.1</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rPr>
              <w:t>具有食用农产品进货查验记录制度。</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u w:val="none" w:color="FF0000"/>
                <w:lang w:val="en-US" w:eastAsia="zh-CN" w:bidi="ar-SA"/>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spacing w:val="0"/>
                <w:kern w:val="0"/>
                <w:sz w:val="24"/>
                <w:szCs w:val="24"/>
                <w:highlight w:val="none"/>
                <w:lang w:val="en-US" w:eastAsia="zh-CN" w:bidi="ar-SA"/>
              </w:rPr>
            </w:pPr>
            <w:r>
              <w:rPr>
                <w:rFonts w:hint="eastAsia" w:ascii="仿宋_GB2312" w:hAnsi="仿宋_GB2312" w:eastAsia="仿宋_GB2312" w:cs="仿宋_GB2312"/>
                <w:b/>
                <w:bCs/>
                <w:spacing w:val="0"/>
                <w:kern w:val="0"/>
                <w:sz w:val="24"/>
                <w:szCs w:val="24"/>
                <w:highlight w:val="none"/>
                <w:lang w:val="en-US" w:eastAsia="zh-CN"/>
              </w:rPr>
              <w:t>13.2</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bidi="ar-SA"/>
              </w:rPr>
            </w:pPr>
            <w:r>
              <w:rPr>
                <w:rFonts w:hint="eastAsia" w:ascii="仿宋_GB2312" w:hAnsi="仿宋_GB2312" w:eastAsia="仿宋_GB2312" w:cs="仿宋_GB2312"/>
                <w:spacing w:val="0"/>
                <w:kern w:val="0"/>
                <w:sz w:val="24"/>
                <w:szCs w:val="24"/>
                <w:highlight w:val="none"/>
                <w:u w:val="none" w:color="FF0000"/>
              </w:rPr>
              <w:t>如实记录所采购的食用农产品的名称、数量、进货日期以及供货者名称、地址、联系方式等内容，并保存相关凭证。记录和凭证保存期限不少于六个月。</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0.1</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u w:val="none" w:color="FF0000"/>
                <w:lang w:val="en-US" w:eastAsia="zh-CN" w:bidi="ar-SA"/>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spacing w:val="0"/>
                <w:kern w:val="0"/>
                <w:sz w:val="24"/>
                <w:szCs w:val="24"/>
                <w:highlight w:val="none"/>
                <w:lang w:val="en-US" w:eastAsia="zh-CN" w:bidi="ar-SA"/>
              </w:rPr>
            </w:pPr>
            <w:r>
              <w:rPr>
                <w:rFonts w:hint="eastAsia" w:ascii="仿宋_GB2312" w:hAnsi="仿宋_GB2312" w:eastAsia="仿宋_GB2312" w:cs="仿宋_GB2312"/>
                <w:b/>
                <w:bCs/>
                <w:spacing w:val="0"/>
                <w:kern w:val="0"/>
                <w:sz w:val="24"/>
                <w:szCs w:val="24"/>
                <w:highlight w:val="none"/>
                <w:lang w:val="en-US" w:eastAsia="zh-CN"/>
              </w:rPr>
              <w:t>*13.3</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bidi="ar-SA"/>
              </w:rPr>
            </w:pPr>
            <w:r>
              <w:rPr>
                <w:rFonts w:hint="eastAsia" w:ascii="仿宋_GB2312" w:hAnsi="仿宋_GB2312" w:eastAsia="仿宋_GB2312" w:cs="仿宋_GB2312"/>
                <w:spacing w:val="0"/>
                <w:kern w:val="0"/>
                <w:sz w:val="24"/>
                <w:szCs w:val="24"/>
                <w:highlight w:val="none"/>
                <w:u w:val="none" w:color="FF0000"/>
              </w:rPr>
              <w:t>经营的肉类按规定具有检疫合格证明和肉品品质检验合格证明。</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color w:val="000000"/>
                <w:spacing w:val="0"/>
                <w:kern w:val="0"/>
                <w:sz w:val="24"/>
                <w:szCs w:val="24"/>
                <w:highlight w:val="none"/>
                <w:u w:val="none" w:color="FF0000"/>
                <w:lang w:val="en-US" w:eastAsia="zh-CN" w:bidi="ar-SA"/>
              </w:rPr>
              <w:t>0.4</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35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u w:val="none" w:color="FF0000"/>
                <w:lang w:val="en-US" w:eastAsia="zh-CN" w:bidi="ar-SA"/>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13.4</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r>
              <w:rPr>
                <w:rFonts w:hint="eastAsia" w:ascii="仿宋_GB2312" w:hAnsi="仿宋_GB2312" w:eastAsia="仿宋_GB2312" w:cs="仿宋_GB2312"/>
                <w:spacing w:val="0"/>
                <w:kern w:val="0"/>
                <w:sz w:val="24"/>
                <w:szCs w:val="24"/>
                <w:highlight w:val="none"/>
                <w:u w:val="none" w:color="FF0000"/>
                <w:lang w:val="en-US" w:eastAsia="zh-CN"/>
              </w:rPr>
              <w:t>销售生鲜食用农产品，不得使用对食用农产品的真实色泽等感官性状造成明显改变的照明等设施误导消费者对商品的感官认知。</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0.2</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1" w:hRule="atLeast"/>
          <w:jc w:val="center"/>
        </w:trPr>
        <w:tc>
          <w:tcPr>
            <w:tcW w:w="135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u w:val="none" w:color="FF0000"/>
                <w:lang w:val="en-US" w:eastAsia="zh-CN" w:bidi="ar-SA"/>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13.5</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r>
              <w:rPr>
                <w:rFonts w:hint="eastAsia" w:ascii="仿宋_GB2312" w:hAnsi="仿宋_GB2312" w:eastAsia="仿宋_GB2312" w:cs="仿宋_GB2312"/>
                <w:spacing w:val="0"/>
                <w:kern w:val="0"/>
                <w:sz w:val="24"/>
                <w:szCs w:val="24"/>
                <w:highlight w:val="none"/>
                <w:u w:val="none" w:color="FF0000"/>
              </w:rPr>
              <w:t>包装、保鲜、贮存、运输中使用保鲜剂、防腐剂等食品添加剂和包装材料等食品相关产品，应当符合食品安全国家标准。</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0.2</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74" w:hRule="atLeast"/>
          <w:jc w:val="center"/>
        </w:trPr>
        <w:tc>
          <w:tcPr>
            <w:tcW w:w="1350" w:type="dxa"/>
            <w:vMerge w:val="restart"/>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u w:val="none" w:color="FF0000"/>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13.食用农产品</w:t>
            </w: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13.6</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r>
              <w:rPr>
                <w:rFonts w:hint="eastAsia" w:ascii="仿宋_GB2312" w:hAnsi="仿宋_GB2312" w:eastAsia="仿宋_GB2312" w:cs="仿宋_GB2312"/>
                <w:spacing w:val="0"/>
                <w:kern w:val="0"/>
                <w:sz w:val="24"/>
                <w:szCs w:val="24"/>
                <w:highlight w:val="none"/>
                <w:u w:val="none" w:color="FF0000"/>
              </w:rPr>
              <w:t>在销售场所明显位置或者带包装产品的包装上如实标明食用农产品的名称、产地、生产者或者销售者的名称或者姓名等信息。产地应当具体到县（市、区），对保质期有要求的</w:t>
            </w:r>
            <w:r>
              <w:rPr>
                <w:rFonts w:hint="eastAsia" w:ascii="仿宋_GB2312" w:hAnsi="仿宋_GB2312" w:eastAsia="仿宋_GB2312" w:cs="仿宋_GB2312"/>
                <w:spacing w:val="0"/>
                <w:kern w:val="0"/>
                <w:sz w:val="24"/>
                <w:szCs w:val="24"/>
                <w:highlight w:val="none"/>
                <w:u w:val="none" w:color="FF0000"/>
                <w:lang w:eastAsia="zh-CN"/>
              </w:rPr>
              <w:t>或</w:t>
            </w:r>
            <w:r>
              <w:rPr>
                <w:rFonts w:hint="eastAsia" w:ascii="仿宋_GB2312" w:hAnsi="仿宋_GB2312" w:eastAsia="仿宋_GB2312" w:cs="仿宋_GB2312"/>
                <w:spacing w:val="0"/>
                <w:kern w:val="0"/>
                <w:sz w:val="24"/>
                <w:szCs w:val="24"/>
                <w:highlight w:val="none"/>
                <w:u w:val="none" w:color="FF0000"/>
              </w:rPr>
              <w:t>保质期与贮存条件有关的，应予标明；在包装、保鲜、贮存中使用食品添加剂的，应标明食品添加剂名称。</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0.2</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34" w:hRule="atLeast"/>
          <w:jc w:val="center"/>
        </w:trPr>
        <w:tc>
          <w:tcPr>
            <w:tcW w:w="135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u w:val="none" w:color="FF0000"/>
                <w:lang w:val="en-US" w:eastAsia="zh-CN" w:bidi="ar-SA"/>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13.7</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r>
              <w:rPr>
                <w:rFonts w:hint="eastAsia" w:ascii="仿宋_GB2312" w:hAnsi="仿宋_GB2312" w:eastAsia="仿宋_GB2312" w:cs="仿宋_GB2312"/>
                <w:spacing w:val="0"/>
                <w:kern w:val="0"/>
                <w:sz w:val="24"/>
                <w:szCs w:val="24"/>
                <w:highlight w:val="none"/>
                <w:u w:val="none" w:color="FF0000"/>
                <w:lang w:eastAsia="zh-CN"/>
              </w:rPr>
              <w:t>进口鲜冻肉类产品的外包装上应当以中文标明规格、产地、目的地、生产日期、保质期、贮存条件等内容；分装销售的进口食用农产品，应当在包装上保留原进口食用农产品全部信息以及分装企业、分装时间、地点、保质期等信息。</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0.2</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1" w:hRule="atLeast"/>
          <w:jc w:val="center"/>
        </w:trPr>
        <w:tc>
          <w:tcPr>
            <w:tcW w:w="135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color w:val="000000"/>
                <w:spacing w:val="0"/>
                <w:kern w:val="0"/>
                <w:sz w:val="24"/>
                <w:szCs w:val="24"/>
                <w:highlight w:val="none"/>
                <w:u w:val="none" w:color="FF0000"/>
                <w:lang w:val="en-US" w:eastAsia="zh-CN" w:bidi="ar-SA"/>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*13.8</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r>
              <w:rPr>
                <w:rFonts w:hint="eastAsia" w:ascii="仿宋_GB2312" w:hAnsi="仿宋_GB2312" w:eastAsia="仿宋_GB2312" w:cs="仿宋_GB2312"/>
                <w:spacing w:val="0"/>
                <w:kern w:val="0"/>
                <w:sz w:val="24"/>
                <w:szCs w:val="24"/>
                <w:highlight w:val="none"/>
                <w:u w:val="none" w:color="FF0000"/>
                <w:lang w:eastAsia="zh-CN"/>
              </w:rPr>
              <w:t>销售即食食用农产品应如实标明具体制作时间，应采取有效措施做好食品安全防护，防止交叉污染。</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u w:val="none" w:color="FF0000"/>
                <w:lang w:val="en-US" w:eastAsia="zh-CN" w:bidi="ar-SA"/>
              </w:rPr>
              <w:t>0.4</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02"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lang w:val="en-US" w:eastAsia="zh-CN"/>
              </w:rPr>
            </w:pPr>
            <w:r>
              <w:rPr>
                <w:rFonts w:hint="eastAsia" w:ascii="仿宋_GB2312" w:hAnsi="仿宋_GB2312" w:eastAsia="仿宋_GB2312" w:cs="仿宋_GB2312"/>
                <w:b/>
                <w:bCs/>
                <w:color w:val="000000"/>
                <w:spacing w:val="0"/>
                <w:kern w:val="0"/>
                <w:sz w:val="24"/>
                <w:szCs w:val="24"/>
                <w:highlight w:val="none"/>
                <w:u w:val="none" w:color="FF0000"/>
                <w:lang w:val="en-US" w:eastAsia="zh-CN"/>
              </w:rPr>
              <w:t>14.食盐</w:t>
            </w: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14.1</w:t>
            </w:r>
          </w:p>
        </w:tc>
        <w:tc>
          <w:tcPr>
            <w:tcW w:w="7918" w:type="dxa"/>
            <w:tcBorders>
              <w:tl2br w:val="nil"/>
              <w:tr2bl w:val="nil"/>
            </w:tcBorders>
            <w:shd w:val="clear" w:color="auto" w:fill="auto"/>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未发现法律法规禁止销售的食盐：</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1.散装食盐；</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2.掺假掺杂、混有异物的食盐；</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3.无标签或者标签不符合法律、法规、规章的食盐；</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bidi="ar-SA"/>
              </w:rPr>
            </w:pPr>
            <w:r>
              <w:rPr>
                <w:rFonts w:hint="eastAsia" w:ascii="仿宋_GB2312" w:hAnsi="仿宋_GB2312" w:eastAsia="仿宋_GB2312" w:cs="仿宋_GB2312"/>
                <w:spacing w:val="0"/>
                <w:kern w:val="0"/>
                <w:sz w:val="24"/>
                <w:szCs w:val="24"/>
                <w:highlight w:val="none"/>
                <w:u w:val="none" w:color="FF0000"/>
              </w:rPr>
              <w:t>4.其他不符合食品安全标准的食盐。</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44"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lang w:val="en-US"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14.2</w:t>
            </w:r>
          </w:p>
        </w:tc>
        <w:tc>
          <w:tcPr>
            <w:tcW w:w="7918" w:type="dxa"/>
            <w:tcBorders>
              <w:tl2br w:val="nil"/>
              <w:tr2bl w:val="nil"/>
            </w:tcBorders>
            <w:shd w:val="clear" w:color="auto" w:fill="auto"/>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未发现下列产品作为食盐销售：</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1.液体盐（含天然卤水）；</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2.工业用盐和其他非食用盐；</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3.利用盐土、硝土或者工业废渣、废液制作的盐；</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4.利用井矿盐卤水熬制的盐；</w:t>
            </w:r>
          </w:p>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spacing w:val="0"/>
                <w:kern w:val="0"/>
                <w:sz w:val="24"/>
                <w:szCs w:val="24"/>
                <w:highlight w:val="none"/>
                <w:u w:val="none" w:color="FF0000"/>
                <w:lang w:val="en-US" w:eastAsia="zh-CN" w:bidi="ar-SA"/>
              </w:rPr>
            </w:pPr>
            <w:r>
              <w:rPr>
                <w:rFonts w:hint="eastAsia" w:ascii="仿宋_GB2312" w:hAnsi="仿宋_GB2312" w:eastAsia="仿宋_GB2312" w:cs="仿宋_GB2312"/>
                <w:spacing w:val="0"/>
                <w:kern w:val="0"/>
                <w:sz w:val="24"/>
                <w:szCs w:val="24"/>
                <w:highlight w:val="none"/>
                <w:u w:val="none" w:color="FF0000"/>
              </w:rPr>
              <w:t>5.外包装上无标识或者标识不符合国家有关规定的盐。</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0.5</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33"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lang w:val="en-US" w:eastAsia="zh-CN"/>
              </w:rPr>
            </w:pPr>
            <w:r>
              <w:rPr>
                <w:rFonts w:hint="eastAsia" w:ascii="仿宋_GB2312" w:hAnsi="仿宋_GB2312" w:eastAsia="仿宋_GB2312" w:cs="仿宋_GB2312"/>
                <w:b/>
                <w:bCs/>
                <w:color w:val="000000"/>
                <w:spacing w:val="0"/>
                <w:kern w:val="0"/>
                <w:sz w:val="24"/>
                <w:szCs w:val="24"/>
                <w:highlight w:val="none"/>
                <w:u w:val="none" w:color="FF0000"/>
                <w:lang w:val="en-US" w:eastAsia="zh-CN"/>
              </w:rPr>
              <w:t>14.食盐</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14.3</w:t>
            </w:r>
          </w:p>
        </w:tc>
        <w:tc>
          <w:tcPr>
            <w:tcW w:w="7918" w:type="dxa"/>
            <w:tcBorders>
              <w:tl2br w:val="nil"/>
              <w:tr2bl w:val="nil"/>
            </w:tcBorders>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从事食盐批发应取得食盐定点批发企业证书、食品经营许可证（或仅销售预包装食品备案信息采集表），从食盐定点生产企业或者其他食盐定点批发企业购进食盐，在国家规定的范围内销售。建立食盐质量安全追溯体系，落实销售全程记录制度，按规定在省级部门食品安全信息追溯系录入批发食盐的进货查验、出厂检验、食盐销售等信息，将追溯信息推送给购货者并生成追溯凭证。录入的追溯信息准确、规范、完整、真实。记录和凭证保存期限不得少于产品保质期满后六个月;没有明确保质期的，保存期限不得少于二年。</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52"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14.4</w:t>
            </w:r>
          </w:p>
        </w:tc>
        <w:tc>
          <w:tcPr>
            <w:tcW w:w="7918" w:type="dxa"/>
            <w:tcBorders>
              <w:tl2br w:val="nil"/>
              <w:tr2bl w:val="nil"/>
            </w:tcBorders>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食盐零售单位从取得食盐定点批发企业证书的单位购进。建立食盐质量安全追溯体系，落实销售全程记录制度，查验食盐供货者的定点批发证书、食品经营许可证（或仅销售预包装食品备案信息采集表）和食品出厂检验合格证或追溯凭证等其他合格证明，如实记录所采购食品的名称、规格、数量、生产日期或者生产批号、保质期、进货日期以及供货者名称、地址、联系方式等内容，并保存相关凭证。记录和凭证保存期限不少于产品保质期满后六个月；没有明确保质期的，保存期限不少于二年（从进货日起计）。</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2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u w:val="none" w:color="FF0000"/>
                <w:lang w:val="en-US" w:eastAsia="zh-CN"/>
              </w:rPr>
            </w:pPr>
            <w:r>
              <w:rPr>
                <w:rFonts w:hint="eastAsia" w:ascii="仿宋_GB2312" w:hAnsi="仿宋_GB2312" w:eastAsia="仿宋_GB2312" w:cs="仿宋_GB2312"/>
                <w:b/>
                <w:bCs/>
                <w:color w:val="000000"/>
                <w:spacing w:val="0"/>
                <w:kern w:val="0"/>
                <w:sz w:val="24"/>
                <w:szCs w:val="24"/>
                <w:highlight w:val="none"/>
                <w:u w:val="none" w:color="FF0000"/>
                <w:lang w:val="en-US" w:eastAsia="zh-CN"/>
              </w:rPr>
              <w:t>15.食品添加剂</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*15.1</w:t>
            </w:r>
          </w:p>
        </w:tc>
        <w:tc>
          <w:tcPr>
            <w:tcW w:w="7918" w:type="dxa"/>
            <w:tcBorders>
              <w:tl2br w:val="nil"/>
              <w:tr2bl w:val="nil"/>
            </w:tcBorders>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lang w:val="en-US" w:eastAsia="zh-CN"/>
              </w:rPr>
            </w:pPr>
            <w:r>
              <w:rPr>
                <w:rFonts w:hint="eastAsia" w:ascii="仿宋_GB2312" w:hAnsi="仿宋_GB2312" w:eastAsia="仿宋_GB2312" w:cs="仿宋_GB2312"/>
                <w:spacing w:val="0"/>
                <w:kern w:val="0"/>
                <w:sz w:val="24"/>
                <w:szCs w:val="24"/>
                <w:highlight w:val="none"/>
                <w:u w:val="none" w:color="FF0000"/>
              </w:rPr>
              <w:t>查验食品添加剂供货者的生产许可证和产品合格证明文件或追溯凭证，也可以通过省级部门食品安全信息追溯系统及时接收确认供货者推送的追溯信息。记录所采购食品添加剂的名称、规格、数量、生产日期或生产批号、保质期、进货日期及供货者名称、地址、联系方式等内容，并保存相关凭证。记录和凭证保存期限不少于产品保质期满后六个月；没有明确保质期的，保存期限不少于二年（从进货日起计）。</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val="en-US" w:eastAsia="zh-CN" w:bidi="ar-SA"/>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6"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*15.2</w:t>
            </w:r>
          </w:p>
        </w:tc>
        <w:tc>
          <w:tcPr>
            <w:tcW w:w="7918" w:type="dxa"/>
            <w:tcBorders>
              <w:tl2br w:val="nil"/>
              <w:tr2bl w:val="nil"/>
            </w:tcBorders>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rPr>
            </w:pPr>
            <w:r>
              <w:rPr>
                <w:rFonts w:hint="eastAsia" w:ascii="仿宋_GB2312" w:hAnsi="仿宋_GB2312" w:eastAsia="仿宋_GB2312" w:cs="仿宋_GB2312"/>
                <w:spacing w:val="0"/>
                <w:kern w:val="0"/>
                <w:sz w:val="24"/>
                <w:szCs w:val="24"/>
                <w:highlight w:val="none"/>
                <w:u w:val="none" w:color="FF0000"/>
              </w:rPr>
              <w:t>食品添加剂有标签、说明书和包装</w:t>
            </w:r>
            <w:r>
              <w:rPr>
                <w:rFonts w:hint="eastAsia" w:ascii="仿宋_GB2312" w:hAnsi="仿宋_GB2312" w:eastAsia="仿宋_GB2312" w:cs="仿宋_GB2312"/>
                <w:spacing w:val="0"/>
                <w:kern w:val="0"/>
                <w:sz w:val="24"/>
                <w:szCs w:val="24"/>
                <w:highlight w:val="none"/>
                <w:u w:val="none" w:color="FF0000"/>
                <w:lang w:eastAsia="zh-CN"/>
              </w:rPr>
              <w:t>，</w:t>
            </w:r>
            <w:r>
              <w:rPr>
                <w:rFonts w:hint="eastAsia" w:ascii="仿宋_GB2312" w:hAnsi="仿宋_GB2312" w:eastAsia="仿宋_GB2312" w:cs="仿宋_GB2312"/>
                <w:spacing w:val="0"/>
                <w:kern w:val="0"/>
                <w:sz w:val="24"/>
                <w:szCs w:val="24"/>
                <w:highlight w:val="none"/>
                <w:u w:val="none" w:color="FF0000"/>
              </w:rPr>
              <w:t>标签、说明书的内容</w:t>
            </w:r>
            <w:r>
              <w:rPr>
                <w:rFonts w:hint="eastAsia" w:ascii="仿宋_GB2312" w:hAnsi="仿宋_GB2312" w:eastAsia="仿宋_GB2312" w:cs="仿宋_GB2312"/>
                <w:spacing w:val="0"/>
                <w:kern w:val="0"/>
                <w:sz w:val="24"/>
                <w:szCs w:val="24"/>
                <w:highlight w:val="none"/>
                <w:u w:val="none" w:color="FF0000"/>
                <w:lang w:eastAsia="zh-CN"/>
              </w:rPr>
              <w:t>与实际相符</w:t>
            </w:r>
            <w:r>
              <w:rPr>
                <w:rFonts w:hint="eastAsia" w:ascii="仿宋_GB2312" w:hAnsi="仿宋_GB2312" w:eastAsia="仿宋_GB2312" w:cs="仿宋_GB2312"/>
                <w:spacing w:val="0"/>
                <w:kern w:val="0"/>
                <w:sz w:val="24"/>
                <w:szCs w:val="24"/>
                <w:highlight w:val="none"/>
                <w:u w:val="none" w:color="FF0000"/>
              </w:rPr>
              <w:t>。标签上载明“食品添加剂”字样。提供给消费者直接使用的食品添加剂，标签上还注明“零售”字样。其他内容符合法律、法规以及食品安全标准规定的其他事项。</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rPr>
                <w:rFonts w:hint="eastAsia" w:ascii="仿宋_GB2312" w:hAnsi="仿宋_GB2312" w:eastAsia="仿宋_GB2312" w:cs="仿宋_GB2312"/>
                <w:color w:val="000000"/>
                <w:spacing w:val="0"/>
                <w:kern w:val="0"/>
                <w:sz w:val="24"/>
                <w:szCs w:val="24"/>
                <w:highlight w:val="none"/>
                <w:u w:val="none" w:color="FF0000"/>
                <w:lang w:val="en-US" w:eastAsia="zh-CN" w:bidi="ar-SA"/>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40" w:hRule="atLeast"/>
          <w:jc w:val="center"/>
        </w:trPr>
        <w:tc>
          <w:tcPr>
            <w:tcW w:w="1350"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spacing w:val="0"/>
                <w:kern w:val="0"/>
                <w:sz w:val="24"/>
                <w:szCs w:val="24"/>
                <w:highlight w:val="none"/>
                <w:lang w:val="en-US" w:eastAsia="zh-CN" w:bidi="ar-SA"/>
              </w:rPr>
            </w:pPr>
            <w:r>
              <w:rPr>
                <w:rFonts w:hint="eastAsia" w:ascii="仿宋_GB2312" w:hAnsi="仿宋_GB2312" w:eastAsia="仿宋_GB2312" w:cs="仿宋_GB2312"/>
                <w:b/>
                <w:bCs/>
                <w:spacing w:val="0"/>
                <w:kern w:val="0"/>
                <w:sz w:val="24"/>
                <w:szCs w:val="24"/>
                <w:highlight w:val="none"/>
                <w:lang w:val="en-US" w:eastAsia="zh-CN"/>
              </w:rPr>
              <w:t>16.进口产品</w:t>
            </w: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spacing w:val="0"/>
                <w:kern w:val="0"/>
                <w:sz w:val="24"/>
                <w:szCs w:val="24"/>
                <w:highlight w:val="none"/>
                <w:lang w:val="en-US" w:eastAsia="zh-CN" w:bidi="ar-SA"/>
              </w:rPr>
            </w:pPr>
            <w:r>
              <w:rPr>
                <w:rFonts w:hint="eastAsia" w:ascii="仿宋_GB2312" w:hAnsi="仿宋_GB2312" w:eastAsia="仿宋_GB2312" w:cs="仿宋_GB2312"/>
                <w:b/>
                <w:bCs/>
                <w:spacing w:val="0"/>
                <w:kern w:val="0"/>
                <w:sz w:val="24"/>
                <w:szCs w:val="24"/>
                <w:highlight w:val="none"/>
                <w:lang w:val="en-US" w:eastAsia="zh-CN"/>
              </w:rPr>
              <w:t>*16.1</w:t>
            </w:r>
          </w:p>
        </w:tc>
        <w:tc>
          <w:tcPr>
            <w:tcW w:w="7918" w:type="dxa"/>
            <w:tcBorders>
              <w:tl2br w:val="nil"/>
              <w:tr2bl w:val="nil"/>
            </w:tcBorders>
            <w:shd w:val="clear" w:color="auto" w:fill="auto"/>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lang w:val="en-US" w:eastAsia="zh-CN"/>
              </w:rPr>
            </w:pPr>
            <w:r>
              <w:rPr>
                <w:rFonts w:hint="eastAsia" w:ascii="仿宋_GB2312" w:hAnsi="仿宋_GB2312" w:eastAsia="仿宋_GB2312" w:cs="仿宋_GB2312"/>
                <w:spacing w:val="0"/>
                <w:kern w:val="0"/>
                <w:sz w:val="24"/>
                <w:szCs w:val="24"/>
                <w:highlight w:val="none"/>
                <w:u w:val="none" w:color="FF0000"/>
                <w:lang w:eastAsia="zh-CN"/>
              </w:rPr>
              <w:t>进口预包装食品、食品添加剂有中文标签；依法应当有说明书的，有中文说明书。标签、说明书标示原产国国名或地区区名（如香港、澳门、台湾），以及在中国依法登记注册的代理商、进口商或经销者的名称、地址和联系方式，可不标示生产者的名称、地址和联系方式，符合我国法律、行政法规的规定和食品安全国家标准的要求。</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eastAsia="zh-CN"/>
              </w:rPr>
            </w:pPr>
            <w:r>
              <w:rPr>
                <w:rFonts w:hint="eastAsia" w:ascii="仿宋_GB2312" w:hAnsi="仿宋_GB2312" w:eastAsia="仿宋_GB2312" w:cs="仿宋_GB2312"/>
                <w:b/>
                <w:bCs/>
                <w:color w:val="000000"/>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eastAsia="zh-CN"/>
              </w:rPr>
              <w:t>食品销售企业</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17.1</w:t>
            </w:r>
          </w:p>
        </w:tc>
        <w:tc>
          <w:tcPr>
            <w:tcW w:w="7918" w:type="dxa"/>
            <w:tcBorders>
              <w:tl2br w:val="nil"/>
              <w:tr2bl w:val="nil"/>
            </w:tcBorders>
            <w:vAlign w:val="center"/>
          </w:tcPr>
          <w:p>
            <w:pPr>
              <w:keepNext w:val="0"/>
              <w:keepLines w:val="0"/>
              <w:pageBreakBefore w:val="0"/>
              <w:widowControl w:val="0"/>
              <w:tabs>
                <w:tab w:val="left" w:pos="4352"/>
              </w:tabs>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spacing w:val="0"/>
                <w:kern w:val="0"/>
                <w:sz w:val="24"/>
                <w:szCs w:val="24"/>
                <w:highlight w:val="none"/>
                <w:u w:val="none" w:color="FF0000"/>
                <w:lang w:eastAsia="zh-CN"/>
              </w:rPr>
            </w:pPr>
            <w:r>
              <w:rPr>
                <w:rFonts w:hint="eastAsia" w:ascii="仿宋_GB2312" w:hAnsi="仿宋_GB2312" w:eastAsia="仿宋_GB2312" w:cs="仿宋_GB2312"/>
                <w:spacing w:val="0"/>
                <w:kern w:val="0"/>
                <w:sz w:val="24"/>
                <w:szCs w:val="24"/>
                <w:highlight w:val="none"/>
                <w:u w:val="none" w:color="FF0000"/>
                <w:lang w:eastAsia="zh-CN"/>
              </w:rPr>
              <w:t>食品销售企业具有食品安全管理制度。</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rPr>
              <w:t>*17.2</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食品销售企业具有培训制度，对各岗位从业人员开展相应的食品安全知识培训。</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color w:val="000000"/>
                <w:spacing w:val="0"/>
                <w:kern w:val="0"/>
                <w:sz w:val="24"/>
                <w:szCs w:val="24"/>
                <w:highlight w:val="none"/>
                <w:lang w:eastAsia="zh-CN"/>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textAlignment w:val="center"/>
              <w:rPr>
                <w:rFonts w:hint="eastAsia" w:ascii="仿宋_GB2312" w:hAnsi="仿宋_GB2312" w:eastAsia="仿宋_GB2312" w:cs="仿宋_GB2312"/>
                <w:b/>
                <w:bCs/>
                <w:color w:val="000000"/>
                <w:spacing w:val="0"/>
                <w:kern w:val="0"/>
                <w:sz w:val="24"/>
                <w:szCs w:val="24"/>
                <w:highlight w:val="none"/>
                <w:lang w:val="en-US" w:eastAsia="zh-CN" w:bidi="ar-SA"/>
              </w:rPr>
            </w:pPr>
            <w:r>
              <w:rPr>
                <w:rFonts w:hint="eastAsia" w:ascii="仿宋_GB2312" w:hAnsi="仿宋_GB2312" w:eastAsia="仿宋_GB2312" w:cs="仿宋_GB2312"/>
                <w:b/>
                <w:bCs/>
                <w:color w:val="000000"/>
                <w:spacing w:val="0"/>
                <w:kern w:val="0"/>
                <w:sz w:val="24"/>
                <w:szCs w:val="24"/>
                <w:highlight w:val="none"/>
                <w:lang w:val="en-US" w:eastAsia="zh-CN" w:bidi="ar-SA"/>
              </w:rPr>
              <w:t>17.3</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食品销售企业加强食品检验工作。</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spacing w:val="0"/>
                <w:kern w:val="0"/>
                <w:sz w:val="24"/>
                <w:szCs w:val="24"/>
                <w:highlight w:val="none"/>
                <w:lang w:val="en-US" w:eastAsia="zh-CN" w:bidi="ar-SA"/>
              </w:rPr>
            </w:pPr>
          </w:p>
        </w:tc>
        <w:tc>
          <w:tcPr>
            <w:tcW w:w="943"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jc w:val="center"/>
              <w:rPr>
                <w:rFonts w:hint="eastAsia" w:ascii="仿宋_GB2312" w:hAnsi="仿宋_GB2312" w:eastAsia="仿宋_GB2312" w:cs="仿宋_GB2312"/>
                <w:b/>
                <w:bCs/>
                <w:spacing w:val="0"/>
                <w:kern w:val="0"/>
                <w:sz w:val="24"/>
                <w:szCs w:val="24"/>
                <w:highlight w:val="none"/>
                <w:lang w:val="en-US" w:eastAsia="zh-CN" w:bidi="ar-SA"/>
              </w:rPr>
            </w:pPr>
            <w:r>
              <w:rPr>
                <w:rFonts w:hint="eastAsia" w:ascii="仿宋_GB2312" w:hAnsi="仿宋_GB2312" w:eastAsia="仿宋_GB2312" w:cs="仿宋_GB2312"/>
                <w:b/>
                <w:bCs/>
                <w:spacing w:val="0"/>
                <w:kern w:val="0"/>
                <w:sz w:val="24"/>
                <w:szCs w:val="24"/>
                <w:highlight w:val="none"/>
                <w:lang w:val="en-US" w:eastAsia="zh-CN" w:bidi="ar-SA"/>
              </w:rPr>
              <w:t>*17.4</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leftChars="0"/>
              <w:textAlignment w:val="center"/>
              <w:rPr>
                <w:rFonts w:hint="eastAsia" w:ascii="仿宋_GB2312" w:hAnsi="仿宋_GB2312" w:eastAsia="仿宋_GB2312" w:cs="仿宋_GB2312"/>
                <w:color w:val="000000"/>
                <w:spacing w:val="0"/>
                <w:kern w:val="0"/>
                <w:sz w:val="24"/>
                <w:szCs w:val="24"/>
                <w:highlight w:val="none"/>
                <w:lang w:val="en-US" w:eastAsia="zh-CN" w:bidi="ar-SA"/>
              </w:rPr>
            </w:pPr>
            <w:r>
              <w:rPr>
                <w:rFonts w:hint="eastAsia" w:ascii="仿宋_GB2312" w:hAnsi="仿宋_GB2312" w:eastAsia="仿宋_GB2312" w:cs="仿宋_GB2312"/>
                <w:color w:val="000000"/>
                <w:spacing w:val="0"/>
                <w:kern w:val="0"/>
                <w:sz w:val="24"/>
                <w:szCs w:val="24"/>
                <w:highlight w:val="none"/>
                <w:lang w:eastAsia="zh-CN"/>
              </w:rPr>
              <w:t>具有食品安全风险管控清单，并进行动态管理。</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*17.5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具有并落实日管控、周排查、月调度制度机制。</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*17.6</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企业主要负责人对企业食品安全工作全面负责。</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0.5</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.7</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企业主要负责人明确相关制度机制，保障食品安全管理人员工作。</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w:t>
            </w: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.8</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配备相应的食品安全总监、食品安全员等食品安全管理人员，对其开展培训和考核。</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.9</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食品安全总监、食品安全员经考核具备相应的食品安全管理能力。</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w:t>
            </w: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.10</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食品安全总监、食品安全员接受食品安全监管部门监督抽查考核，考核情况公布。</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大中型食品销售企业、连锁销售企业总部制定《食品安全总监职责》。</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eastAsia="zh-CN"/>
              </w:rPr>
              <w:t>食品销售企业</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w:t>
            </w: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食品安全总监按照《食品安全总监职责》要求，直接对本企业主要负责人负责并报告食品安全管理情况，协助主要负责人做好食品安全管理工作。</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食品销售企业制定《食品安全员守则》。</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w:t>
            </w: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食品安全员按照《食品安全员守则》要求，对食品安全总监或企业主要负责人负责，从事食品安全管理具体工作。</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w:t>
            </w: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食品销售企业记录并存档主要负责人、食品安全总监、食品安全员等人员的设立、调整情况，《食品安全总监职责》《食品安全员守则》以及食品安全总监、食品安全员提出的意见建议和报告等履职情况。</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.16</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食品销售企业从业人员熟悉食品安全基本原则和岗位操作规程，有明确职责和权限报告发现的食品安全问题。</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w:t>
            </w: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.17</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销售企业具有进货查验记录制度或通过省级部门食品安全信息追溯系统及时接收确认供货者推送的追溯信息。记录所采购食品的名称、规格、数量、生产日期或者生产批号、保质期、进货日期以及供货者名称、地址、联系方式等内容，并保存相关凭证。记录和凭证保存期限不得少于产品保质期满后六个月；没有明确保质期的，保存期限不得少于二年（从进货日起计）。</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w:t>
            </w: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.18</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实行统一配送经营方式的食品销售企业由其总部统一录入或者确认追溯信息，并将配送清单以及相应追溯信息推送到所属经营门店。总部未统一录入或者确认追溯信息的，在采购食品后24小时内通过省级部门食品安全信息追溯系统接收确认供货者推送的追溯信息；供货者未推送追溯信息的，应当在采购食品36小时内，如实录入名称、规格、数量、生产日期或者生产批号、保质期、产品合格证明、进货日期和生产者名称，以及供货者的名称、统一社会信用代码、地址、联系方式等追溯信息。录入的追溯信息准确、规范、完整、真实。</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val="en-US" w:eastAsia="zh-CN"/>
              </w:rPr>
              <w:t>.19</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食品销售企业在贮存食品时，除了按各项制度要求记录信息外，还要记录交接的时间、地点、人员、运输方式、运输工具等信息，保证食品在不同主体间流转有序，并保存相关凭证。</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4" w:hRule="atLeast"/>
          <w:jc w:val="center"/>
        </w:trPr>
        <w:tc>
          <w:tcPr>
            <w:tcW w:w="135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17.</w:t>
            </w:r>
            <w:r>
              <w:rPr>
                <w:rFonts w:hint="eastAsia" w:ascii="仿宋_GB2312" w:hAnsi="仿宋_GB2312" w:eastAsia="仿宋_GB2312" w:cs="仿宋_GB2312"/>
                <w:b/>
                <w:bCs/>
                <w:color w:val="000000"/>
                <w:spacing w:val="0"/>
                <w:kern w:val="0"/>
                <w:sz w:val="24"/>
                <w:szCs w:val="24"/>
                <w:highlight w:val="none"/>
                <w:lang w:eastAsia="zh-CN"/>
              </w:rPr>
              <w:t>食品销售企业</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17.20</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仅从事食品经营管理活动的，取得一个经营场所的食品经营许可或者进行备案后，未在本省级行政区域外的其他经营场所开展已取得许可或者备案范围内的经营活动。</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2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18.从事食品批发业务的销售企业</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*18.1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具有并落实销售记录制度，按规定录入所销售食品电子化追溯信息，通过省级部门食品安全信息追溯系统将追溯信息推送给购货者并生成追溯凭证。录入的追溯信息准确、规范、完整、真实。记录食品的名称、规格、数量、生产日期或者生产批号、保质期、销售日期以及购货者名称、地址、联系方式等内容，并保存相关凭证。记录和凭证保存期限不少于产品保质期满后六个月；没有明确保质期的，保存期限不少于二年。</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3"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18.2</w:t>
            </w:r>
          </w:p>
        </w:tc>
        <w:tc>
          <w:tcPr>
            <w:tcW w:w="7918"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eastAsia="zh-CN"/>
              </w:rPr>
              <w:t>食品批发销售者将名称、统一社会信用代码、法定代表人或者负责人姓名、地址、联系方式、生产经营许可证或者备案等信息录入省级部门食品安全信息追溯系统。信息发生变更的，自变更之日起5日内，更新录入电子档案的相关内容。</w:t>
            </w:r>
          </w:p>
        </w:tc>
        <w:tc>
          <w:tcPr>
            <w:tcW w:w="154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eastAsia="zh-CN"/>
              </w:rPr>
              <w:t>□是  □否□合理缺项</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19.自动售货设备</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19.1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利用自动设备从事销售活动的食品销售者，具有并落实风险管控方案。</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19.2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自动设备放置地点与备案提交材料的放置地点一致。</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19.3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在自动设备的显著位置展示食品经营者的联系方式和备案编号等相关备案信息。</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19.4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自动设备内部定期清洗消毒，并记录清洗消毒情况。</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5"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19.5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通过自动设备从事食品经营活动的，取得一个经营场所的食品经营许可或者进行备案后，未在本省级行政区域外的其他经营场所开展已取得许可或者备案范围内的经营活动。</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5"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20.委托或受托贮存情况</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*20.1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委托贮存食品的，选择具有合法资质的贮存服务提供者，查验其资质、食品安全保障能力，留存相关证明文件。委托非食品生产经营者贮存有温度、湿度等特殊要求食品的，审查其备案。</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20.2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具有贮存服务提供者档案，记录相关信息。</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5"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20.3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与贮存服务提供者签订合同、协议等，明确双方的食品安全管理责任、保障食品安全的措施要求。</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8"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*20.4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监督贮存服务提供者按照合同、协议等明确的保证食品安全的要求贮存食品，并留存监督记录。委托贮存冷藏冷冻食品的，留存冷藏冷冻食品温度记录。</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20.5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相关记录和证明文件保存期限不少于贮存结束后二年。</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21"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*20.6</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接受委托贮存食品的，留存委托方的食品生产经营许可证复印件（或仅销售预包装食品备案信息采集表）。如实记录委托方的名称、统一社会信用代码、地址、联系方式以及委托贮存的冷藏冷冻食品名称、数量、时间等内容。记录和相关凭证的保存期限不得少于贮存结束后2年。</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21.运输过程控制</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21.1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运输和装卸食品的容器、工具和设备安全、无害、保持清洁，防止食品污染。</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*21.2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运输食品使用专用运输工具，具备防雨、防尘设施。食品运输工具未运输有毒有害物质。同一运输工具运输不同食品时，做好分装、分离或分隔。</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8"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*21.3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委托运输食品的，选择具有合法资质的运输服务提供者，查验其资质、食品安全保障能力，留存相关证明文件。</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9"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21.4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具有运输服务提供者档案，记录运输服务提供者主体资格信息、联系方式、运输时间、运输食品品种和数量、运输的起始点地址等信息。</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21.运输过程控制</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21.5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与运输服务提供者签订合同、协议等，明确运输服务提供者的食品安全管理责任、保障食品安全的措施要求。</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*21.6</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监督运输服务提供者按照合同、协议等明确的保证食品安全的要求运输食品，留存监督记录。委托运输冷藏冷冻食品的，留存冷藏冷冻食品温度记录。</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21.7</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相关记录和证明文件保存期限不少于运输结束后二年。</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22.委托生产</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22.1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进行仅销售预包装食品备案的销售者可委托生产食品、食品添加剂。</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22.2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选择持有有效食品生产许可、食品添加剂生产许可的生产者开展委托生产活动，其生产许可范围涵盖受委托生产的产品品种，具备相应的生产能力。</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tabs>
                <w:tab w:val="left" w:pos="387"/>
              </w:tabs>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22.3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审查受托方的生产许可，并记录留存相关证明文件。</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22.4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接受受托方对自身备案信息采集表等资质的查验。</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22.5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委托方具有与委托生产食品的种类、数量等相适应的食品安全相关制度和食品安全管理机构，配备相应的食品安全管理人员。</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22.6</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与受托方签订委托生产合同，约定食品原辅料和包装材料采购方式、风险防控措施、监督形式、产品检验方式等双方的食品安全责任义务和不合格产品的赔偿责任等。</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22.7</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对受托方生产行为进行监督，对委托生产的食品、食品添加剂的安全负责。如实记录监督情况，由委托双方确认并留存相关记录。</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22.8</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未发现下列禁止性行为：</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1.委托资质证书不全、超出证照载明的生产范围、不具备相应生产能力的食品生产者委托生产；</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2.将同一食品品种委托多个受托方分段生产；</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3.委托食品加工小作坊生产。</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23.问题产品处置</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销售者发现销售的食品变质、超过保质期、不符合食品安全标准或有证据证明可能危害人体健康时，立即停止采购、售卖，封存不安全食品，并进行显著标示或单独存放在明确标志的场所。</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4"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对不符合食品安全标准或有证据证明可能危害人体健康的食品，采取适当方式有效、准确地通知相关食品生产经营者、消费者。</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知悉食品生产者召回不安全食品的，在经营场所醒目位置张贴生产者发布的召回公告等，配合食品生产者开展召回工作；对通过网络平台销售的，在网站主页发布召回公告，并向消费者推送相关信息。</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9"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对因自身原因所导致的不安全食品的，根据法律法规的规定在其经营的范围内主动召回。在召回通知或者公告中应当特别注明系因其自身的原因导致食品出现不安全问题。召回不安全食品情况告知供货商。</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5"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因生产者无法确定、破产等原因无法召回不安全食品的，在其经营的范围内主动召回不安全食品。</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6"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23.6</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对因停止生产经营、召回等原因退出市场的不安全食品采取补救、无害化处理、销毁等处置措施。</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5"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23.7</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对因标签、标志或说明书不符合食品安全标准而被召回的食品，食品生产者在采取补救措施且能保证食品安全的情况下可以继续销售，销售时向消费者明示补救措施。</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0"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23.8</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对违法添加非食用物质、腐败变质、病死畜禽等严重危害人体健康和生命安全的不安全食品，立即就地销毁。不具备就地销毁条件的，由不安全食品生产经营者集中销毁处理。</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6"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23.问题产品处置</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23.9</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食品召回和处理情况向所在地县级市场监督管理部门报告；需要对召回的食品进行无害化处理、销毁的，提前报告时间、地点。</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4"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23.10</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如实记录停止销售、召回和处置不安全食品的名称、商标、批次、规格、数量、来源、发生召回原因、召回情况、后续整改方案、控制风险和危害等内容，保存相关凭证。</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6"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23.11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记录对召回食品进行无害化处理、销毁的时间、地点、人员、处理方式等信息，市场监督管理部门实施现场监督的，还应当记录相关监管人员基本信息，并保存相关凭证。</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4"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23.12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企业可依法采取补救措施、继续销售的，应当记录采取补救措施的时间、地点、人员、处理方式等信息，并保存相关凭证。</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60"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24.特殊食品</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销售特殊食品查验并保存供货者的许可资质、特殊食品注册证书或者备案凭证、出厂检验合格证或者产品检验报告、进口产品检验检疫证明或入境货物检验检疫证明等材料。进货和销售记录能满足查验和追溯要求。注册或者备案凭证应与实际商品相符，且在有效期内。</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1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特殊食品的标签、说明书应当与注册或备案的内容相一致。保健食品的标签、说明书载明适宜人群、不适宜人群、功效成分或者标志性成分及其含量，未涉及疾病预防、治疗功能等，并声明“本品不能替代药物”。婴幼儿配方乳粉标签不得使用婴儿和妇女的形象，未标注“人乳化”“母乳化”或近似术语表述。</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2"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进口特殊食品应该有中文标签且必须印制在最小销售包装上，不得加贴。</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98"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24.特殊食品</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特殊食品未与普通食品、药品混放销售。特殊食品设专柜（或专区）销售，并在专柜（或专区）显著位置设立提示牌，分别标明“保健食品销售专柜（或专区）”“特殊医学用途配方食品销售专柜（或专区）”“婴幼儿配方乳粉销售专柜（或专区）”字样，提示牌为绿底白字（黑体）。</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24.5</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保健食品、特殊医学用途配方食品的广告依法报省级市场监督管理部门审查批准后发布。广告应当显著标明广告批准文号；应当依法声明“本品不能代替药物”。</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0.4</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44"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24.6</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保健食品标签设置警示用语区，标注“保健食品不是药物，不能替代药物治疗疾病”警示用语。保健食品经营者在经营保健食品的场所、网络平台等显要位置标注“保健食品不是药物，不能代替药物治疗疾病”等消费提示信息。</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24.7</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对距离保质期不足一个月的婴幼儿配方乳粉采取醒目提示或者提前下架等措施。</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0.1</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5"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*24.8</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网络销售保健食品的页面在显著位置标明“本品不能代替药物”。网络销售特殊医学用途配方食品，销售页面应显著标示“请在医生或者临床营养师指导下使用；不适用于非目标人群使用；本品禁止用于肠外营养支持和静脉注射”等提示用语。</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40"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*24.9</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网络销售特殊食品的销售主页相关信息应当与产品注册证书或备案凭证、广告审查批准等信息相一致，销售页面刊载内容未涉及疾病预防、治疗功能等禁止标志内容。</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1"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*24.10</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医疗机构和药品零售企业之外的食品销售者未向消费者销售特定全营养配方食品。</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r>
              <w:rPr>
                <w:rFonts w:hint="eastAsia" w:ascii="仿宋_GB2312" w:hAnsi="仿宋_GB2312" w:eastAsia="仿宋_GB2312" w:cs="仿宋_GB2312"/>
                <w:b/>
                <w:bCs/>
                <w:spacing w:val="0"/>
                <w:kern w:val="0"/>
                <w:sz w:val="24"/>
                <w:szCs w:val="24"/>
                <w:highlight w:val="none"/>
                <w:lang w:val="en-US" w:eastAsia="zh-CN"/>
              </w:rPr>
              <w:t>24.特殊食品</w:t>
            </w: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*24.11</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未发现通过健康咨询、宣传资料等任何方式虚假夸大宣传特殊食品。</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*24.12</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未宣传声称婴儿配方食品全部或者部分替代母乳。</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24.13</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未对0—12个月龄婴儿食用的婴儿配方食品进行广告宣传。</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0.2</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35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rPr>
                <w:rFonts w:hint="eastAsia" w:ascii="仿宋_GB2312" w:hAnsi="仿宋_GB2312" w:eastAsia="仿宋_GB2312" w:cs="仿宋_GB2312"/>
                <w:b/>
                <w:bCs/>
                <w:spacing w:val="0"/>
                <w:kern w:val="0"/>
                <w:sz w:val="24"/>
                <w:szCs w:val="24"/>
                <w:highlight w:val="none"/>
                <w:lang w:val="en-US" w:eastAsia="zh-CN"/>
              </w:rPr>
            </w:pPr>
          </w:p>
        </w:tc>
        <w:tc>
          <w:tcPr>
            <w:tcW w:w="94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bCs/>
                <w:color w:val="000000"/>
                <w:spacing w:val="0"/>
                <w:kern w:val="0"/>
                <w:sz w:val="24"/>
                <w:szCs w:val="24"/>
                <w:highlight w:val="none"/>
                <w:lang w:val="en-US" w:eastAsia="zh-CN"/>
              </w:rPr>
            </w:pPr>
            <w:r>
              <w:rPr>
                <w:rFonts w:hint="eastAsia" w:ascii="仿宋_GB2312" w:hAnsi="仿宋_GB2312" w:eastAsia="仿宋_GB2312" w:cs="仿宋_GB2312"/>
                <w:b/>
                <w:bCs/>
                <w:color w:val="000000"/>
                <w:spacing w:val="0"/>
                <w:kern w:val="0"/>
                <w:sz w:val="24"/>
                <w:szCs w:val="24"/>
                <w:highlight w:val="none"/>
                <w:lang w:val="en-US" w:eastAsia="zh-CN"/>
              </w:rPr>
              <w:t>*24.14</w:t>
            </w:r>
          </w:p>
        </w:tc>
        <w:tc>
          <w:tcPr>
            <w:tcW w:w="791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eastAsia="zh-CN"/>
              </w:rPr>
            </w:pPr>
            <w:r>
              <w:rPr>
                <w:rFonts w:hint="eastAsia" w:ascii="仿宋_GB2312" w:hAnsi="仿宋_GB2312" w:eastAsia="仿宋_GB2312" w:cs="仿宋_GB2312"/>
                <w:color w:val="000000"/>
                <w:spacing w:val="0"/>
                <w:kern w:val="0"/>
                <w:sz w:val="24"/>
                <w:szCs w:val="24"/>
                <w:highlight w:val="none"/>
                <w:lang w:eastAsia="zh-CN"/>
              </w:rPr>
              <w:t>特定全营养配方食品未进行网络交易。</w:t>
            </w:r>
          </w:p>
        </w:tc>
        <w:tc>
          <w:tcPr>
            <w:tcW w:w="15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b w:val="0"/>
                <w:bCs w:val="0"/>
                <w:color w:val="auto"/>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lang w:eastAsia="zh-CN"/>
              </w:rPr>
              <w:t>□</w:t>
            </w:r>
            <w:r>
              <w:rPr>
                <w:rFonts w:hint="eastAsia" w:ascii="仿宋_GB2312" w:hAnsi="仿宋_GB2312" w:eastAsia="仿宋_GB2312" w:cs="仿宋_GB2312"/>
                <w:b w:val="0"/>
                <w:bCs w:val="0"/>
                <w:color w:val="auto"/>
                <w:spacing w:val="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rPr>
            </w:pPr>
            <w:r>
              <w:rPr>
                <w:rFonts w:hint="eastAsia" w:ascii="仿宋_GB2312" w:hAnsi="仿宋_GB2312" w:eastAsia="仿宋_GB2312" w:cs="仿宋_GB2312"/>
                <w:b w:val="0"/>
                <w:bCs w:val="0"/>
                <w:color w:val="auto"/>
                <w:spacing w:val="0"/>
                <w:kern w:val="0"/>
                <w:sz w:val="24"/>
                <w:szCs w:val="24"/>
                <w:highlight w:val="none"/>
              </w:rPr>
              <w:t>□</w:t>
            </w:r>
            <w:r>
              <w:rPr>
                <w:rFonts w:hint="eastAsia" w:ascii="仿宋_GB2312" w:hAnsi="仿宋_GB2312" w:eastAsia="仿宋_GB2312" w:cs="仿宋_GB2312"/>
                <w:b w:val="0"/>
                <w:bCs w:val="0"/>
                <w:color w:val="auto"/>
                <w:spacing w:val="0"/>
                <w:kern w:val="0"/>
                <w:sz w:val="24"/>
                <w:szCs w:val="24"/>
                <w:highlight w:val="none"/>
                <w:lang w:eastAsia="zh-CN"/>
              </w:rPr>
              <w:t>合理缺项</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0.3</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c>
          <w:tcPr>
            <w:tcW w:w="80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757"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eastAsia="zh-CN"/>
              </w:rPr>
              <w:t>总计</w:t>
            </w:r>
          </w:p>
        </w:tc>
        <w:tc>
          <w:tcPr>
            <w:tcW w:w="80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center"/>
              <w:textAlignment w:val="center"/>
              <w:rPr>
                <w:rFonts w:hint="eastAsia" w:ascii="仿宋_GB2312" w:hAnsi="仿宋_GB2312" w:eastAsia="仿宋_GB2312" w:cs="仿宋_GB2312"/>
                <w:color w:val="000000"/>
                <w:spacing w:val="0"/>
                <w:kern w:val="0"/>
                <w:sz w:val="24"/>
                <w:szCs w:val="24"/>
                <w:highlight w:val="none"/>
                <w:lang w:val="en-US" w:eastAsia="zh-CN"/>
              </w:rPr>
            </w:pPr>
            <w:r>
              <w:rPr>
                <w:rFonts w:hint="eastAsia" w:ascii="仿宋_GB2312" w:hAnsi="仿宋_GB2312" w:eastAsia="仿宋_GB2312" w:cs="仿宋_GB2312"/>
                <w:color w:val="000000"/>
                <w:spacing w:val="0"/>
                <w:kern w:val="0"/>
                <w:sz w:val="24"/>
                <w:szCs w:val="24"/>
                <w:highlight w:val="none"/>
                <w:lang w:val="en-US" w:eastAsia="zh-CN"/>
              </w:rPr>
              <w:t>40</w:t>
            </w:r>
          </w:p>
        </w:tc>
        <w:tc>
          <w:tcPr>
            <w:tcW w:w="1611"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仿宋_GB2312" w:hAnsi="仿宋_GB2312" w:eastAsia="仿宋_GB2312" w:cs="仿宋_GB2312"/>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293"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left"/>
              <w:textAlignment w:val="center"/>
              <w:rPr>
                <w:rFonts w:hint="eastAsia" w:ascii="黑体" w:hAnsi="黑体" w:eastAsia="黑体" w:cs="黑体"/>
                <w:color w:val="000000"/>
                <w:spacing w:val="0"/>
                <w:kern w:val="0"/>
                <w:sz w:val="24"/>
                <w:szCs w:val="24"/>
                <w:highlight w:val="none"/>
                <w:lang w:val="en-US" w:eastAsia="zh-CN"/>
              </w:rPr>
            </w:pPr>
            <w:r>
              <w:rPr>
                <w:rFonts w:hint="eastAsia" w:ascii="黑体" w:hAnsi="黑体" w:eastAsia="黑体" w:cs="黑体"/>
                <w:color w:val="000000"/>
                <w:spacing w:val="0"/>
                <w:kern w:val="0"/>
                <w:sz w:val="24"/>
                <w:szCs w:val="24"/>
                <w:highlight w:val="none"/>
                <w:lang w:val="en-US" w:eastAsia="zh-CN"/>
              </w:rPr>
              <w:t>检查人员姓名</w:t>
            </w:r>
          </w:p>
        </w:tc>
        <w:tc>
          <w:tcPr>
            <w:tcW w:w="11880" w:type="dxa"/>
            <w:gridSpan w:val="5"/>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left="0"/>
              <w:textAlignment w:val="center"/>
              <w:rPr>
                <w:rFonts w:hint="eastAsia" w:ascii="黑体" w:hAnsi="黑体" w:eastAsia="黑体" w:cs="黑体"/>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173" w:type="dxa"/>
            <w:gridSpan w:val="7"/>
            <w:tcBorders>
              <w:tl2br w:val="nil"/>
              <w:tr2bl w:val="nil"/>
            </w:tcBorders>
            <w:vAlign w:val="top"/>
          </w:tcPr>
          <w:p>
            <w:pPr>
              <w:keepNext w:val="0"/>
              <w:keepLines w:val="0"/>
              <w:pageBreakBefore w:val="0"/>
              <w:widowControl w:val="0"/>
              <w:kinsoku/>
              <w:wordWrap/>
              <w:overflowPunct w:val="0"/>
              <w:topLinePunct w:val="0"/>
              <w:autoSpaceDE/>
              <w:autoSpaceDN/>
              <w:bidi w:val="0"/>
              <w:adjustRightInd w:val="0"/>
              <w:snapToGrid w:val="0"/>
              <w:spacing w:line="240" w:lineRule="auto"/>
              <w:ind w:left="0"/>
              <w:jc w:val="both"/>
              <w:textAlignment w:val="center"/>
              <w:rPr>
                <w:rFonts w:hint="eastAsia" w:ascii="黑体" w:hAnsi="黑体" w:eastAsia="黑体" w:cs="黑体"/>
                <w:color w:val="000000"/>
                <w:spacing w:val="0"/>
                <w:kern w:val="0"/>
                <w:sz w:val="24"/>
                <w:szCs w:val="24"/>
                <w:highlight w:val="none"/>
                <w:lang w:val="en-US" w:eastAsia="zh-CN"/>
              </w:rPr>
            </w:pPr>
            <w:r>
              <w:rPr>
                <w:rFonts w:hint="eastAsia" w:ascii="黑体" w:hAnsi="黑体" w:eastAsia="黑体" w:cs="黑体"/>
                <w:color w:val="000000"/>
                <w:spacing w:val="0"/>
                <w:kern w:val="0"/>
                <w:sz w:val="24"/>
                <w:szCs w:val="24"/>
                <w:highlight w:val="none"/>
                <w:lang w:val="en-US" w:eastAsia="zh-CN"/>
              </w:rPr>
              <w:t>其他需要记录的问题：</w:t>
            </w:r>
          </w:p>
          <w:p>
            <w:pPr>
              <w:keepNext w:val="0"/>
              <w:keepLines w:val="0"/>
              <w:pageBreakBefore w:val="0"/>
              <w:widowControl w:val="0"/>
              <w:kinsoku/>
              <w:wordWrap/>
              <w:overflowPunct w:val="0"/>
              <w:topLinePunct w:val="0"/>
              <w:autoSpaceDE/>
              <w:autoSpaceDN/>
              <w:bidi w:val="0"/>
              <w:adjustRightInd w:val="0"/>
              <w:snapToGrid w:val="0"/>
              <w:spacing w:line="240" w:lineRule="auto"/>
              <w:ind w:left="0"/>
              <w:jc w:val="both"/>
              <w:textAlignment w:val="center"/>
              <w:rPr>
                <w:rFonts w:hint="eastAsia" w:ascii="黑体" w:hAnsi="黑体" w:eastAsia="黑体" w:cs="黑体"/>
                <w:color w:val="000000"/>
                <w:spacing w:val="0"/>
                <w:kern w:val="0"/>
                <w:sz w:val="24"/>
                <w:szCs w:val="24"/>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240" w:lineRule="auto"/>
              <w:ind w:left="0"/>
              <w:jc w:val="both"/>
              <w:textAlignment w:val="center"/>
              <w:rPr>
                <w:rFonts w:hint="eastAsia" w:ascii="黑体" w:hAnsi="黑体" w:eastAsia="黑体" w:cs="黑体"/>
                <w:color w:val="000000"/>
                <w:spacing w:val="0"/>
                <w:kern w:val="0"/>
                <w:sz w:val="24"/>
                <w:szCs w:val="24"/>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240" w:lineRule="auto"/>
              <w:ind w:left="0"/>
              <w:jc w:val="both"/>
              <w:textAlignment w:val="center"/>
              <w:rPr>
                <w:rFonts w:hint="eastAsia" w:ascii="黑体" w:hAnsi="黑体" w:eastAsia="黑体" w:cs="黑体"/>
                <w:color w:val="000000"/>
                <w:spacing w:val="0"/>
                <w:kern w:val="0"/>
                <w:sz w:val="24"/>
                <w:szCs w:val="24"/>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240" w:lineRule="auto"/>
              <w:ind w:left="0"/>
              <w:jc w:val="both"/>
              <w:textAlignment w:val="center"/>
              <w:rPr>
                <w:rFonts w:hint="eastAsia" w:ascii="黑体" w:hAnsi="黑体" w:eastAsia="黑体" w:cs="黑体"/>
                <w:color w:val="000000"/>
                <w:spacing w:val="0"/>
                <w:kern w:val="0"/>
                <w:sz w:val="24"/>
                <w:szCs w:val="24"/>
                <w:highlight w:val="none"/>
                <w:lang w:val="en-US" w:eastAsia="zh-CN"/>
              </w:rPr>
            </w:pPr>
          </w:p>
        </w:tc>
      </w:tr>
    </w:tbl>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default" w:ascii="楷体_GB2312" w:hAnsi="楷体_GB2312" w:eastAsia="楷体_GB2312" w:cs="楷体_GB2312"/>
          <w:spacing w:val="-6"/>
          <w:kern w:val="0"/>
          <w:sz w:val="28"/>
          <w:szCs w:val="28"/>
          <w:highlight w:val="none"/>
          <w:lang w:val="en-US" w:eastAsia="zh-CN"/>
        </w:rPr>
      </w:pPr>
      <w:r>
        <w:rPr>
          <w:rFonts w:hint="default" w:ascii="楷体_GB2312" w:hAnsi="楷体_GB2312" w:eastAsia="楷体_GB2312" w:cs="楷体_GB2312"/>
          <w:spacing w:val="-6"/>
          <w:kern w:val="0"/>
          <w:sz w:val="28"/>
          <w:szCs w:val="28"/>
          <w:highlight w:val="none"/>
          <w:lang w:val="en-US" w:eastAsia="zh-CN"/>
        </w:rPr>
        <w:t>备注：</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default" w:ascii="楷体_GB2312" w:hAnsi="楷体_GB2312" w:eastAsia="楷体_GB2312" w:cs="楷体_GB2312"/>
          <w:spacing w:val="-6"/>
          <w:kern w:val="0"/>
          <w:sz w:val="28"/>
          <w:szCs w:val="28"/>
          <w:highlight w:val="none"/>
          <w:lang w:val="en-US" w:eastAsia="zh-CN"/>
        </w:rPr>
      </w:pPr>
      <w:r>
        <w:rPr>
          <w:rFonts w:hint="default" w:ascii="楷体_GB2312" w:hAnsi="楷体_GB2312" w:eastAsia="楷体_GB2312" w:cs="楷体_GB2312"/>
          <w:spacing w:val="-6"/>
          <w:kern w:val="0"/>
          <w:sz w:val="28"/>
          <w:szCs w:val="28"/>
          <w:highlight w:val="none"/>
          <w:lang w:val="en-US" w:eastAsia="zh-CN"/>
        </w:rPr>
        <w:t>1.本表用于</w:t>
      </w:r>
      <w:r>
        <w:rPr>
          <w:rFonts w:hint="eastAsia" w:ascii="楷体_GB2312" w:hAnsi="楷体_GB2312" w:eastAsia="楷体_GB2312" w:cs="楷体_GB2312"/>
          <w:spacing w:val="-6"/>
          <w:kern w:val="0"/>
          <w:sz w:val="28"/>
          <w:szCs w:val="28"/>
          <w:highlight w:val="none"/>
          <w:lang w:val="en-US" w:eastAsia="zh-CN"/>
        </w:rPr>
        <w:t>仅销售</w:t>
      </w:r>
      <w:r>
        <w:rPr>
          <w:rFonts w:hint="default" w:ascii="楷体_GB2312" w:hAnsi="楷体_GB2312" w:eastAsia="楷体_GB2312" w:cs="楷体_GB2312"/>
          <w:spacing w:val="-6"/>
          <w:kern w:val="0"/>
          <w:sz w:val="28"/>
          <w:szCs w:val="28"/>
          <w:highlight w:val="none"/>
          <w:lang w:val="en-US" w:eastAsia="zh-CN"/>
        </w:rPr>
        <w:t>预包装食品</w:t>
      </w:r>
      <w:r>
        <w:rPr>
          <w:rFonts w:hint="eastAsia" w:ascii="楷体_GB2312" w:hAnsi="楷体_GB2312" w:eastAsia="楷体_GB2312" w:cs="楷体_GB2312"/>
          <w:spacing w:val="-6"/>
          <w:kern w:val="0"/>
          <w:sz w:val="28"/>
          <w:szCs w:val="28"/>
          <w:highlight w:val="none"/>
          <w:lang w:val="en-US" w:eastAsia="zh-CN"/>
        </w:rPr>
        <w:t>经营者</w:t>
      </w:r>
      <w:r>
        <w:rPr>
          <w:rFonts w:hint="default" w:ascii="楷体_GB2312" w:hAnsi="楷体_GB2312" w:eastAsia="楷体_GB2312" w:cs="楷体_GB2312"/>
          <w:spacing w:val="-6"/>
          <w:kern w:val="0"/>
          <w:sz w:val="28"/>
          <w:szCs w:val="28"/>
          <w:highlight w:val="none"/>
          <w:lang w:val="en-US" w:eastAsia="zh-CN"/>
        </w:rPr>
        <w:t>备案。</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default" w:ascii="楷体_GB2312" w:hAnsi="楷体_GB2312" w:eastAsia="楷体_GB2312" w:cs="楷体_GB2312"/>
          <w:spacing w:val="-6"/>
          <w:kern w:val="0"/>
          <w:sz w:val="28"/>
          <w:szCs w:val="28"/>
          <w:highlight w:val="none"/>
          <w:lang w:val="en-US" w:eastAsia="zh-CN"/>
        </w:rPr>
      </w:pPr>
      <w:r>
        <w:rPr>
          <w:rFonts w:hint="default" w:ascii="楷体_GB2312" w:hAnsi="楷体_GB2312" w:eastAsia="楷体_GB2312" w:cs="楷体_GB2312"/>
          <w:spacing w:val="-6"/>
          <w:kern w:val="0"/>
          <w:sz w:val="28"/>
          <w:szCs w:val="28"/>
          <w:highlight w:val="none"/>
          <w:lang w:val="en-US" w:eastAsia="zh-CN"/>
        </w:rPr>
        <w:t>2.动态分值总和为</w:t>
      </w:r>
      <w:r>
        <w:rPr>
          <w:rFonts w:hint="eastAsia" w:ascii="楷体_GB2312" w:hAnsi="楷体_GB2312" w:eastAsia="楷体_GB2312" w:cs="楷体_GB2312"/>
          <w:spacing w:val="-6"/>
          <w:kern w:val="0"/>
          <w:sz w:val="28"/>
          <w:szCs w:val="28"/>
          <w:highlight w:val="none"/>
          <w:lang w:val="en-US" w:eastAsia="zh-CN"/>
        </w:rPr>
        <w:t>40</w:t>
      </w:r>
      <w:r>
        <w:rPr>
          <w:rFonts w:hint="default" w:ascii="楷体_GB2312" w:hAnsi="楷体_GB2312" w:eastAsia="楷体_GB2312" w:cs="楷体_GB2312"/>
          <w:spacing w:val="-6"/>
          <w:kern w:val="0"/>
          <w:sz w:val="28"/>
          <w:szCs w:val="28"/>
          <w:highlight w:val="none"/>
          <w:lang w:val="en-US" w:eastAsia="zh-CN"/>
        </w:rPr>
        <w:t>分，每个项目根据其存在风险（不合规程度）打分，选择“是”，不得分；选择“否”，视情况打分，存在风险（不合规程度）越高，得分越高。</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default" w:ascii="楷体_GB2312" w:hAnsi="楷体_GB2312" w:eastAsia="楷体_GB2312" w:cs="楷体_GB2312"/>
          <w:spacing w:val="-6"/>
          <w:kern w:val="0"/>
          <w:sz w:val="28"/>
          <w:szCs w:val="28"/>
          <w:highlight w:val="none"/>
          <w:lang w:val="en-US" w:eastAsia="zh-CN"/>
        </w:rPr>
      </w:pPr>
      <w:r>
        <w:rPr>
          <w:rFonts w:hint="default" w:ascii="楷体_GB2312" w:hAnsi="楷体_GB2312" w:eastAsia="楷体_GB2312" w:cs="楷体_GB2312"/>
          <w:spacing w:val="-6"/>
          <w:kern w:val="0"/>
          <w:sz w:val="28"/>
          <w:szCs w:val="28"/>
          <w:highlight w:val="none"/>
          <w:lang w:val="en-US" w:eastAsia="zh-CN"/>
        </w:rPr>
        <w:t>3.检查内容包括但不仅限于所列项目，所列项目检查发现的问题，填写在“存在问题”栏，发现的其他问题填写在“其他需要记录的问题”栏。</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default" w:ascii="楷体_GB2312" w:hAnsi="楷体_GB2312" w:eastAsia="楷体_GB2312" w:cs="楷体_GB2312"/>
          <w:spacing w:val="-6"/>
          <w:kern w:val="0"/>
          <w:sz w:val="28"/>
          <w:szCs w:val="28"/>
          <w:highlight w:val="none"/>
          <w:lang w:val="en-US" w:eastAsia="zh-CN"/>
        </w:rPr>
      </w:pPr>
      <w:r>
        <w:rPr>
          <w:rFonts w:hint="eastAsia" w:ascii="楷体_GB2312" w:hAnsi="楷体_GB2312" w:eastAsia="楷体_GB2312" w:cs="楷体_GB2312"/>
          <w:spacing w:val="-6"/>
          <w:kern w:val="0"/>
          <w:sz w:val="28"/>
          <w:szCs w:val="28"/>
          <w:highlight w:val="none"/>
          <w:lang w:val="en-US" w:eastAsia="zh-CN"/>
        </w:rPr>
        <w:t>4</w:t>
      </w:r>
      <w:r>
        <w:rPr>
          <w:rFonts w:hint="default" w:ascii="楷体_GB2312" w:hAnsi="楷体_GB2312" w:eastAsia="楷体_GB2312" w:cs="楷体_GB2312"/>
          <w:spacing w:val="-6"/>
          <w:kern w:val="0"/>
          <w:sz w:val="28"/>
          <w:szCs w:val="28"/>
          <w:highlight w:val="none"/>
          <w:lang w:val="en-US" w:eastAsia="zh-CN"/>
        </w:rPr>
        <w:t>.表中打*号的为重点项，其他为一般项。</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default" w:ascii="楷体_GB2312" w:hAnsi="楷体_GB2312" w:eastAsia="楷体_GB2312" w:cs="楷体_GB2312"/>
          <w:spacing w:val="-6"/>
          <w:kern w:val="0"/>
          <w:sz w:val="28"/>
          <w:szCs w:val="28"/>
          <w:highlight w:val="none"/>
          <w:lang w:val="en-US" w:eastAsia="zh-CN"/>
        </w:rPr>
      </w:pPr>
      <w:r>
        <w:rPr>
          <w:rFonts w:hint="eastAsia" w:ascii="楷体_GB2312" w:hAnsi="楷体_GB2312" w:eastAsia="楷体_GB2312" w:cs="楷体_GB2312"/>
          <w:spacing w:val="-6"/>
          <w:kern w:val="0"/>
          <w:sz w:val="28"/>
          <w:szCs w:val="28"/>
          <w:highlight w:val="none"/>
          <w:lang w:val="en-US" w:eastAsia="zh-CN"/>
        </w:rPr>
        <w:t>5</w:t>
      </w:r>
      <w:r>
        <w:rPr>
          <w:rFonts w:hint="default" w:ascii="楷体_GB2312" w:hAnsi="楷体_GB2312" w:eastAsia="楷体_GB2312" w:cs="楷体_GB2312"/>
          <w:spacing w:val="-6"/>
          <w:kern w:val="0"/>
          <w:sz w:val="28"/>
          <w:szCs w:val="28"/>
          <w:highlight w:val="none"/>
          <w:lang w:val="en-US" w:eastAsia="zh-CN"/>
        </w:rPr>
        <w:t>.如果检查项目存在合理缺项，该项不得分，不计入不符合项数。</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default" w:ascii="楷体_GB2312" w:hAnsi="楷体_GB2312" w:eastAsia="楷体_GB2312" w:cs="楷体_GB2312"/>
          <w:spacing w:val="-6"/>
          <w:kern w:val="0"/>
          <w:sz w:val="28"/>
          <w:szCs w:val="28"/>
          <w:highlight w:val="none"/>
          <w:lang w:val="en-US" w:eastAsia="zh-CN"/>
        </w:rPr>
      </w:pPr>
      <w:r>
        <w:rPr>
          <w:rFonts w:hint="eastAsia" w:ascii="楷体_GB2312" w:hAnsi="楷体_GB2312" w:eastAsia="楷体_GB2312" w:cs="楷体_GB2312"/>
          <w:spacing w:val="-6"/>
          <w:kern w:val="0"/>
          <w:sz w:val="28"/>
          <w:szCs w:val="28"/>
          <w:highlight w:val="none"/>
          <w:lang w:val="en-US" w:eastAsia="zh-CN"/>
        </w:rPr>
        <w:t>6.如无特别明确，具体内容各项要求适用主体为仅销售预包装食品经营者，包括个体工商户和企业。</w:t>
      </w:r>
    </w:p>
    <w:p>
      <w:pPr>
        <w:keepNext w:val="0"/>
        <w:keepLines w:val="0"/>
        <w:pageBreakBefore w:val="0"/>
        <w:widowControl w:val="0"/>
        <w:kinsoku/>
        <w:wordWrap/>
        <w:overflowPunct w:val="0"/>
        <w:topLinePunct w:val="0"/>
        <w:autoSpaceDE/>
        <w:autoSpaceDN/>
        <w:bidi w:val="0"/>
        <w:adjustRightInd w:val="0"/>
        <w:snapToGrid w:val="0"/>
        <w:spacing w:line="500" w:lineRule="exact"/>
        <w:ind w:left="0" w:leftChars="0"/>
        <w:jc w:val="both"/>
        <w:textAlignment w:val="baseline"/>
        <w:rPr>
          <w:rFonts w:hint="eastAsia" w:ascii="楷体_GB2312" w:hAnsi="楷体_GB2312" w:eastAsia="楷体_GB2312" w:cs="楷体_GB2312"/>
          <w:snapToGrid w:val="0"/>
          <w:color w:val="000000"/>
          <w:kern w:val="0"/>
          <w:sz w:val="28"/>
          <w:szCs w:val="28"/>
          <w:lang w:val="en-US" w:eastAsia="en-US"/>
        </w:rPr>
        <w:sectPr>
          <w:pgSz w:w="16838" w:h="11906" w:orient="landscape"/>
          <w:pgMar w:top="1134" w:right="1417" w:bottom="1134" w:left="1417" w:header="851" w:footer="170" w:gutter="0"/>
          <w:pgBorders>
            <w:top w:val="none" w:sz="0" w:space="0"/>
            <w:left w:val="none" w:sz="0" w:space="0"/>
            <w:bottom w:val="none" w:sz="0" w:space="0"/>
            <w:right w:val="none" w:sz="0" w:space="0"/>
          </w:pgBorders>
          <w:pgNumType w:fmt="decimal"/>
          <w:cols w:space="720" w:num="1"/>
          <w:docGrid w:type="lines" w:linePitch="312" w:charSpace="0"/>
        </w:sectPr>
      </w:pP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黑体" w:hAnsi="黑体" w:eastAsia="黑体" w:cs="黑体"/>
          <w:spacing w:val="-6"/>
          <w:sz w:val="32"/>
          <w:szCs w:val="32"/>
          <w:highlight w:val="none"/>
          <w:lang w:val="en-US" w:eastAsia="zh-CN"/>
        </w:rPr>
      </w:pPr>
      <w:r>
        <w:rPr>
          <w:rFonts w:hint="eastAsia" w:ascii="黑体" w:hAnsi="黑体" w:eastAsia="黑体" w:cs="黑体"/>
          <w:spacing w:val="-6"/>
          <w:sz w:val="32"/>
          <w:szCs w:val="32"/>
          <w:highlight w:val="none"/>
          <w:lang w:eastAsia="zh-CN"/>
        </w:rPr>
        <w:t>附件</w:t>
      </w:r>
      <w:r>
        <w:rPr>
          <w:rFonts w:hint="eastAsia" w:ascii="黑体" w:hAnsi="黑体" w:eastAsia="黑体" w:cs="黑体"/>
          <w:spacing w:val="-6"/>
          <w:sz w:val="32"/>
          <w:szCs w:val="32"/>
          <w:highlight w:val="none"/>
          <w:lang w:val="en-US" w:eastAsia="zh-CN"/>
        </w:rPr>
        <w:t>3-4</w:t>
      </w: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default" w:ascii="Times New Roman" w:hAnsi="Times New Roman" w:eastAsia="方正小标宋简体" w:cs="Times New Roman"/>
          <w:spacing w:val="-6"/>
          <w:sz w:val="36"/>
          <w:szCs w:val="36"/>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default" w:ascii="Times New Roman" w:hAnsi="Times New Roman" w:eastAsia="方正小标宋简体" w:cs="Times New Roman"/>
          <w:spacing w:val="-6"/>
          <w:sz w:val="44"/>
          <w:szCs w:val="44"/>
          <w:highlight w:val="none"/>
        </w:rPr>
      </w:pPr>
      <w:r>
        <w:rPr>
          <w:rFonts w:hint="default" w:ascii="Times New Roman" w:hAnsi="Times New Roman" w:eastAsia="方正小标宋简体" w:cs="Times New Roman"/>
          <w:spacing w:val="-6"/>
          <w:sz w:val="44"/>
          <w:szCs w:val="44"/>
          <w:highlight w:val="none"/>
        </w:rPr>
        <w:t>食用农产品销售者动态风险因素量化分值表</w:t>
      </w: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eastAsia" w:ascii="楷体_GB2312" w:hAnsi="楷体_GB2312" w:eastAsia="楷体_GB2312" w:cs="楷体_GB2312"/>
          <w:b/>
          <w:bCs/>
          <w:spacing w:val="-6"/>
          <w:sz w:val="32"/>
          <w:szCs w:val="32"/>
          <w:highlight w:val="none"/>
          <w:lang w:eastAsia="zh-CN"/>
        </w:rPr>
      </w:pPr>
      <w:r>
        <w:rPr>
          <w:rFonts w:hint="eastAsia" w:ascii="楷体_GB2312" w:hAnsi="楷体_GB2312" w:eastAsia="楷体_GB2312" w:cs="楷体_GB2312"/>
          <w:b/>
          <w:bCs/>
          <w:spacing w:val="-6"/>
          <w:sz w:val="32"/>
          <w:szCs w:val="32"/>
          <w:highlight w:val="none"/>
          <w:lang w:eastAsia="zh-CN"/>
        </w:rPr>
        <w:t>（日常监督检查要点表）</w:t>
      </w: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default" w:ascii="Times New Roman" w:hAnsi="Times New Roman" w:eastAsia="仿宋_GB2312" w:cs="Times New Roman"/>
          <w:spacing w:val="-6"/>
          <w:sz w:val="32"/>
          <w:szCs w:val="32"/>
          <w:highlight w:val="none"/>
          <w:lang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黑体" w:hAnsi="黑体" w:eastAsia="黑体" w:cs="黑体"/>
          <w:color w:val="000000"/>
          <w:spacing w:val="-6"/>
          <w:kern w:val="0"/>
          <w:sz w:val="28"/>
          <w:szCs w:val="28"/>
          <w:highlight w:val="none"/>
          <w:lang w:eastAsia="zh-CN"/>
        </w:rPr>
      </w:pPr>
      <w:r>
        <w:rPr>
          <w:rFonts w:hint="eastAsia" w:ascii="黑体" w:hAnsi="黑体" w:eastAsia="黑体" w:cs="黑体"/>
          <w:i w:val="0"/>
          <w:iCs w:val="0"/>
          <w:color w:val="000000"/>
          <w:spacing w:val="-6"/>
          <w:kern w:val="0"/>
          <w:sz w:val="28"/>
          <w:szCs w:val="28"/>
          <w:highlight w:val="none"/>
          <w:u w:val="none"/>
          <w:lang w:val="en-US" w:eastAsia="zh-CN" w:bidi="ar"/>
        </w:rPr>
        <w:t>检查对象名称：</w:t>
      </w:r>
      <w:r>
        <w:rPr>
          <w:rStyle w:val="18"/>
          <w:rFonts w:hint="eastAsia" w:ascii="黑体" w:hAnsi="黑体" w:eastAsia="黑体" w:cs="黑体"/>
          <w:spacing w:val="-6"/>
          <w:sz w:val="28"/>
          <w:szCs w:val="28"/>
          <w:highlight w:val="none"/>
          <w:lang w:val="en-US" w:eastAsia="zh-CN" w:bidi="ar"/>
        </w:rPr>
        <w:t xml:space="preserve">　　　　        </w:t>
      </w:r>
      <w:r>
        <w:rPr>
          <w:rFonts w:hint="eastAsia" w:ascii="黑体" w:hAnsi="黑体" w:eastAsia="黑体" w:cs="黑体"/>
          <w:i w:val="0"/>
          <w:iCs w:val="0"/>
          <w:color w:val="000000"/>
          <w:spacing w:val="-6"/>
          <w:kern w:val="0"/>
          <w:sz w:val="28"/>
          <w:szCs w:val="28"/>
          <w:highlight w:val="none"/>
          <w:u w:val="none"/>
          <w:lang w:val="en-US" w:eastAsia="zh-CN" w:bidi="ar"/>
        </w:rPr>
        <w:t xml:space="preserve">    社会信用代码/注册号</w:t>
      </w:r>
      <w:r>
        <w:rPr>
          <w:rFonts w:hint="eastAsia" w:ascii="黑体" w:hAnsi="黑体" w:eastAsia="黑体" w:cs="黑体"/>
          <w:bCs/>
          <w:spacing w:val="-6"/>
          <w:sz w:val="28"/>
          <w:szCs w:val="28"/>
        </w:rPr>
        <w:t>：</w:t>
      </w:r>
      <w:r>
        <w:rPr>
          <w:rFonts w:hint="eastAsia" w:ascii="黑体" w:hAnsi="黑体" w:eastAsia="黑体" w:cs="黑体"/>
          <w:bCs/>
          <w:spacing w:val="-6"/>
          <w:sz w:val="28"/>
          <w:szCs w:val="28"/>
          <w:u w:val="single"/>
        </w:rPr>
        <w:t xml:space="preserve">      </w:t>
      </w:r>
      <w:r>
        <w:rPr>
          <w:rFonts w:hint="eastAsia" w:ascii="黑体" w:hAnsi="黑体" w:eastAsia="黑体" w:cs="黑体"/>
          <w:bCs/>
          <w:spacing w:val="-6"/>
          <w:sz w:val="28"/>
          <w:szCs w:val="28"/>
          <w:u w:val="single"/>
          <w:lang w:val="en-US" w:eastAsia="zh-CN"/>
        </w:rPr>
        <w:t xml:space="preserve">         </w:t>
      </w:r>
      <w:r>
        <w:rPr>
          <w:rFonts w:hint="eastAsia" w:ascii="黑体" w:hAnsi="黑体" w:eastAsia="黑体" w:cs="黑体"/>
          <w:bCs/>
          <w:spacing w:val="-6"/>
          <w:sz w:val="28"/>
          <w:szCs w:val="28"/>
          <w:u w:val="single"/>
        </w:rPr>
        <w:t xml:space="preserve">     </w:t>
      </w:r>
      <w:r>
        <w:rPr>
          <w:rFonts w:hint="eastAsia" w:ascii="黑体" w:hAnsi="黑体" w:eastAsia="黑体" w:cs="黑体"/>
          <w:bCs/>
          <w:spacing w:val="-6"/>
          <w:sz w:val="28"/>
          <w:szCs w:val="28"/>
          <w:u w:val="single"/>
          <w:lang w:val="en-US" w:eastAsia="zh-CN"/>
        </w:rPr>
        <w:t xml:space="preserve"> </w:t>
      </w:r>
      <w:r>
        <w:rPr>
          <w:rFonts w:hint="eastAsia" w:ascii="黑体" w:hAnsi="黑体" w:eastAsia="黑体" w:cs="黑体"/>
          <w:bCs/>
          <w:spacing w:val="-6"/>
          <w:sz w:val="28"/>
          <w:szCs w:val="28"/>
        </w:rPr>
        <w:t xml:space="preserve"> </w:t>
      </w:r>
      <w:r>
        <w:rPr>
          <w:rFonts w:hint="eastAsia" w:ascii="黑体" w:hAnsi="黑体" w:eastAsia="黑体" w:cs="黑体"/>
          <w:i w:val="0"/>
          <w:iCs w:val="0"/>
          <w:color w:val="000000"/>
          <w:spacing w:val="-6"/>
          <w:kern w:val="0"/>
          <w:sz w:val="28"/>
          <w:szCs w:val="28"/>
          <w:highlight w:val="none"/>
          <w:u w:val="none"/>
          <w:lang w:val="en-US" w:eastAsia="zh-CN" w:bidi="ar"/>
        </w:rPr>
        <w:t xml:space="preserve">    时间：</w:t>
      </w:r>
      <w:r>
        <w:rPr>
          <w:rStyle w:val="18"/>
          <w:rFonts w:hint="eastAsia" w:ascii="黑体" w:hAnsi="黑体" w:eastAsia="黑体" w:cs="黑体"/>
          <w:spacing w:val="-6"/>
          <w:sz w:val="28"/>
          <w:szCs w:val="28"/>
          <w:highlight w:val="none"/>
          <w:lang w:val="en-US" w:eastAsia="zh-CN" w:bidi="ar"/>
        </w:rPr>
        <w:t xml:space="preserve">     </w:t>
      </w:r>
      <w:r>
        <w:rPr>
          <w:rFonts w:hint="eastAsia" w:ascii="黑体" w:hAnsi="黑体" w:eastAsia="黑体" w:cs="黑体"/>
          <w:i w:val="0"/>
          <w:iCs w:val="0"/>
          <w:color w:val="000000"/>
          <w:spacing w:val="-6"/>
          <w:kern w:val="0"/>
          <w:sz w:val="28"/>
          <w:szCs w:val="28"/>
          <w:highlight w:val="none"/>
          <w:u w:val="none"/>
          <w:lang w:val="en-US" w:eastAsia="zh-CN" w:bidi="ar"/>
        </w:rPr>
        <w:t>年</w:t>
      </w:r>
      <w:r>
        <w:rPr>
          <w:rStyle w:val="18"/>
          <w:rFonts w:hint="eastAsia" w:ascii="黑体" w:hAnsi="黑体" w:eastAsia="黑体" w:cs="黑体"/>
          <w:spacing w:val="-6"/>
          <w:sz w:val="28"/>
          <w:szCs w:val="28"/>
          <w:highlight w:val="none"/>
          <w:lang w:val="en-US" w:eastAsia="zh-CN" w:bidi="ar"/>
        </w:rPr>
        <w:t xml:space="preserve">   </w:t>
      </w:r>
      <w:r>
        <w:rPr>
          <w:rFonts w:hint="eastAsia" w:ascii="黑体" w:hAnsi="黑体" w:eastAsia="黑体" w:cs="黑体"/>
          <w:i w:val="0"/>
          <w:iCs w:val="0"/>
          <w:color w:val="000000"/>
          <w:spacing w:val="-6"/>
          <w:kern w:val="0"/>
          <w:sz w:val="28"/>
          <w:szCs w:val="28"/>
          <w:highlight w:val="none"/>
          <w:u w:val="none"/>
          <w:lang w:val="en-US" w:eastAsia="zh-CN" w:bidi="ar"/>
        </w:rPr>
        <w:t>月</w:t>
      </w:r>
      <w:r>
        <w:rPr>
          <w:rStyle w:val="18"/>
          <w:rFonts w:hint="eastAsia" w:ascii="黑体" w:hAnsi="黑体" w:eastAsia="黑体" w:cs="黑体"/>
          <w:spacing w:val="-6"/>
          <w:sz w:val="28"/>
          <w:szCs w:val="28"/>
          <w:highlight w:val="none"/>
          <w:lang w:val="en-US" w:eastAsia="zh-CN" w:bidi="ar"/>
        </w:rPr>
        <w:t xml:space="preserve">   </w:t>
      </w:r>
      <w:r>
        <w:rPr>
          <w:rFonts w:hint="eastAsia" w:ascii="黑体" w:hAnsi="黑体" w:eastAsia="黑体" w:cs="黑体"/>
          <w:i w:val="0"/>
          <w:iCs w:val="0"/>
          <w:color w:val="000000"/>
          <w:spacing w:val="-6"/>
          <w:kern w:val="0"/>
          <w:sz w:val="28"/>
          <w:szCs w:val="28"/>
          <w:highlight w:val="none"/>
          <w:u w:val="none"/>
          <w:lang w:val="en-US" w:eastAsia="zh-CN" w:bidi="ar"/>
        </w:rPr>
        <w:t>日</w:t>
      </w:r>
    </w:p>
    <w:tbl>
      <w:tblPr>
        <w:tblStyle w:val="9"/>
        <w:tblW w:w="1417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5"/>
        <w:gridCol w:w="1068"/>
        <w:gridCol w:w="7313"/>
        <w:gridCol w:w="1899"/>
        <w:gridCol w:w="769"/>
        <w:gridCol w:w="769"/>
        <w:gridCol w:w="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blHeader/>
          <w:jc w:val="center"/>
        </w:trPr>
        <w:tc>
          <w:tcPr>
            <w:tcW w:w="158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w w:val="100"/>
                <w:kern w:val="0"/>
                <w:sz w:val="24"/>
                <w:szCs w:val="24"/>
                <w:highlight w:val="none"/>
              </w:rPr>
            </w:pPr>
            <w:r>
              <w:rPr>
                <w:rFonts w:hint="eastAsia" w:ascii="黑体" w:hAnsi="黑体" w:eastAsia="黑体" w:cs="黑体"/>
                <w:b w:val="0"/>
                <w:bCs/>
                <w:snapToGrid w:val="0"/>
                <w:color w:val="000000"/>
                <w:spacing w:val="0"/>
                <w:w w:val="100"/>
                <w:kern w:val="0"/>
                <w:sz w:val="24"/>
                <w:szCs w:val="24"/>
                <w:highlight w:val="none"/>
              </w:rPr>
              <w:t>检查项目</w:t>
            </w: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w w:val="100"/>
                <w:kern w:val="0"/>
                <w:sz w:val="24"/>
                <w:szCs w:val="24"/>
                <w:highlight w:val="none"/>
              </w:rPr>
            </w:pPr>
            <w:r>
              <w:rPr>
                <w:rFonts w:hint="eastAsia" w:ascii="黑体" w:hAnsi="黑体" w:eastAsia="黑体" w:cs="黑体"/>
                <w:b w:val="0"/>
                <w:bCs/>
                <w:snapToGrid w:val="0"/>
                <w:color w:val="000000"/>
                <w:spacing w:val="0"/>
                <w:w w:val="100"/>
                <w:kern w:val="0"/>
                <w:sz w:val="24"/>
                <w:szCs w:val="24"/>
                <w:highlight w:val="none"/>
              </w:rPr>
              <w:t>序号</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w w:val="100"/>
                <w:kern w:val="0"/>
                <w:sz w:val="24"/>
                <w:szCs w:val="24"/>
                <w:highlight w:val="none"/>
              </w:rPr>
            </w:pPr>
            <w:r>
              <w:rPr>
                <w:rFonts w:hint="eastAsia" w:ascii="黑体" w:hAnsi="黑体" w:eastAsia="黑体" w:cs="黑体"/>
                <w:b w:val="0"/>
                <w:bCs/>
                <w:snapToGrid w:val="0"/>
                <w:color w:val="000000"/>
                <w:spacing w:val="0"/>
                <w:w w:val="100"/>
                <w:kern w:val="0"/>
                <w:sz w:val="24"/>
                <w:szCs w:val="24"/>
                <w:highlight w:val="none"/>
              </w:rPr>
              <w:t>检查内容</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w w:val="100"/>
                <w:kern w:val="0"/>
                <w:sz w:val="24"/>
                <w:szCs w:val="24"/>
                <w:highlight w:val="none"/>
              </w:rPr>
            </w:pPr>
            <w:r>
              <w:rPr>
                <w:rFonts w:hint="eastAsia" w:ascii="黑体" w:hAnsi="黑体" w:eastAsia="黑体" w:cs="黑体"/>
                <w:b w:val="0"/>
                <w:bCs/>
                <w:snapToGrid w:val="0"/>
                <w:color w:val="000000"/>
                <w:spacing w:val="0"/>
                <w:w w:val="100"/>
                <w:kern w:val="0"/>
                <w:sz w:val="24"/>
                <w:szCs w:val="24"/>
                <w:highlight w:val="none"/>
              </w:rPr>
              <w:t>检查结果</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w w:val="100"/>
                <w:kern w:val="0"/>
                <w:sz w:val="24"/>
                <w:szCs w:val="24"/>
                <w:highlight w:val="none"/>
              </w:rPr>
            </w:pPr>
            <w:r>
              <w:rPr>
                <w:rFonts w:hint="eastAsia" w:ascii="黑体" w:hAnsi="黑体" w:eastAsia="黑体" w:cs="黑体"/>
                <w:b w:val="0"/>
                <w:bCs/>
                <w:snapToGrid w:val="0"/>
                <w:color w:val="000000"/>
                <w:spacing w:val="0"/>
                <w:w w:val="100"/>
                <w:kern w:val="0"/>
                <w:sz w:val="24"/>
                <w:szCs w:val="24"/>
                <w:highlight w:val="none"/>
              </w:rPr>
              <w:t>分值</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w w:val="100"/>
                <w:kern w:val="0"/>
                <w:sz w:val="24"/>
                <w:szCs w:val="24"/>
                <w:highlight w:val="none"/>
                <w:lang w:eastAsia="zh-CN"/>
              </w:rPr>
            </w:pPr>
            <w:r>
              <w:rPr>
                <w:rFonts w:hint="eastAsia" w:ascii="黑体" w:hAnsi="黑体" w:eastAsia="黑体" w:cs="黑体"/>
                <w:b w:val="0"/>
                <w:bCs/>
                <w:snapToGrid w:val="0"/>
                <w:color w:val="000000"/>
                <w:spacing w:val="0"/>
                <w:w w:val="100"/>
                <w:kern w:val="0"/>
                <w:sz w:val="24"/>
                <w:szCs w:val="24"/>
                <w:highlight w:val="none"/>
                <w:lang w:eastAsia="zh-CN"/>
              </w:rPr>
              <w:t>得分</w:t>
            </w: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w w:val="100"/>
                <w:kern w:val="0"/>
                <w:sz w:val="24"/>
                <w:szCs w:val="24"/>
                <w:highlight w:val="none"/>
                <w:lang w:val="en-US" w:eastAsia="zh-CN"/>
              </w:rPr>
            </w:pPr>
            <w:r>
              <w:rPr>
                <w:rFonts w:hint="eastAsia" w:ascii="黑体" w:hAnsi="黑体" w:eastAsia="黑体" w:cs="黑体"/>
                <w:b w:val="0"/>
                <w:bCs/>
                <w:snapToGrid w:val="0"/>
                <w:color w:val="000000"/>
                <w:spacing w:val="0"/>
                <w:w w:val="100"/>
                <w:kern w:val="0"/>
                <w:sz w:val="24"/>
                <w:szCs w:val="24"/>
                <w:highlight w:val="none"/>
                <w:lang w:eastAsia="zh-CN"/>
              </w:rPr>
              <w:t>存在问题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173" w:type="dxa"/>
            <w:gridSpan w:val="7"/>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黑体" w:hAnsi="黑体" w:eastAsia="黑体" w:cs="黑体"/>
                <w:b w:val="0"/>
                <w:bCs w:val="0"/>
                <w:snapToGrid w:val="0"/>
                <w:color w:val="000000"/>
                <w:spacing w:val="0"/>
                <w:w w:val="100"/>
                <w:kern w:val="0"/>
                <w:sz w:val="24"/>
                <w:szCs w:val="24"/>
                <w:highlight w:val="none"/>
              </w:rPr>
              <w:t>食用农产品通用检查项目（16项32分）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58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1.主体资格</w:t>
            </w: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1.1</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持有的营业执照等法定主体资格证明文件合法有效。</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2</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4" w:hRule="atLeast"/>
          <w:jc w:val="center"/>
        </w:trPr>
        <w:tc>
          <w:tcPr>
            <w:tcW w:w="1585"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2.经营条件</w:t>
            </w: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2.1</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eastAsia="zh-CN"/>
              </w:rPr>
              <w:t>具有与其销售的食用农产品品种、数量相适应的销售和贮存场所，保持场所环境整洁。</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2</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6"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120" w:firstLineChars="50"/>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2.</w:t>
            </w:r>
            <w:r>
              <w:rPr>
                <w:rFonts w:hint="eastAsia" w:ascii="仿宋_GB2312" w:hAnsi="仿宋_GB2312" w:eastAsia="仿宋_GB2312" w:cs="仿宋_GB2312"/>
                <w:snapToGrid w:val="0"/>
                <w:color w:val="000000"/>
                <w:spacing w:val="0"/>
                <w:w w:val="100"/>
                <w:kern w:val="0"/>
                <w:sz w:val="24"/>
                <w:szCs w:val="24"/>
                <w:highlight w:val="none"/>
                <w:lang w:val="en-US" w:eastAsia="zh-CN"/>
              </w:rPr>
              <w:t>2</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eastAsia="zh-CN"/>
              </w:rPr>
              <w:t>具有与销售的食用农产品品种、数量相适应的设备设施；销售冷藏、冷冻食用农产品的，配备与经营品种相适应的冷藏、冷冻设施</w:t>
            </w:r>
            <w:r>
              <w:rPr>
                <w:rFonts w:hint="eastAsia" w:ascii="仿宋_GB2312" w:hAnsi="仿宋_GB2312" w:eastAsia="仿宋_GB2312" w:cs="仿宋_GB2312"/>
                <w:snapToGrid w:val="0"/>
                <w:color w:val="000000"/>
                <w:spacing w:val="0"/>
                <w:w w:val="100"/>
                <w:kern w:val="0"/>
                <w:sz w:val="24"/>
                <w:szCs w:val="24"/>
                <w:highlight w:val="none"/>
              </w:rPr>
              <w:t>。</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eastAsia="zh-CN"/>
              </w:rPr>
              <w:t>1</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4" w:hRule="atLeast"/>
          <w:jc w:val="center"/>
        </w:trPr>
        <w:tc>
          <w:tcPr>
            <w:tcW w:w="1585"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rPr>
              <w:t>3.</w:t>
            </w:r>
            <w:r>
              <w:rPr>
                <w:rFonts w:hint="eastAsia" w:ascii="仿宋_GB2312" w:hAnsi="仿宋_GB2312" w:eastAsia="仿宋_GB2312" w:cs="仿宋_GB2312"/>
                <w:snapToGrid w:val="0"/>
                <w:color w:val="000000"/>
                <w:spacing w:val="0"/>
                <w:w w:val="100"/>
                <w:kern w:val="0"/>
                <w:sz w:val="24"/>
                <w:szCs w:val="24"/>
                <w:highlight w:val="none"/>
                <w:lang w:eastAsia="zh-CN"/>
              </w:rPr>
              <w:t>包装标识</w:t>
            </w: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3.1</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按照规定应当包装或者附加标识的食用农产品，包装或者附加标识销售，且包装物或者标识标注信息符合规定。</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eastAsia="zh-CN"/>
              </w:rPr>
              <w:t>1</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6"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3.2</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无包装的食用农产品，在摊位（柜台）明显位置如实公布该食用农产品的名称、产地、生产者或者销售者名称（姓名）等信息</w:t>
            </w:r>
            <w:r>
              <w:rPr>
                <w:rFonts w:hint="eastAsia" w:ascii="仿宋_GB2312" w:hAnsi="仿宋_GB2312" w:eastAsia="仿宋_GB2312" w:cs="仿宋_GB2312"/>
                <w:snapToGrid w:val="0"/>
                <w:color w:val="000000"/>
                <w:spacing w:val="0"/>
                <w:w w:val="100"/>
                <w:kern w:val="0"/>
                <w:sz w:val="24"/>
                <w:szCs w:val="24"/>
                <w:highlight w:val="none"/>
                <w:lang w:eastAsia="zh-CN"/>
              </w:rPr>
              <w:t>，产地应当具体到县（市、区）。</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2</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2" w:hRule="atLeast"/>
          <w:jc w:val="center"/>
        </w:trPr>
        <w:tc>
          <w:tcPr>
            <w:tcW w:w="158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4.经营过程控制情况</w:t>
            </w: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4.1</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建立食用农产品进货查验记录制度，如实记录食用农产品名称、数量、进货日期以及供货者名称、地址、联系方式等内容，并保存相关凭证</w:t>
            </w:r>
            <w:r>
              <w:rPr>
                <w:rFonts w:hint="eastAsia" w:ascii="仿宋_GB2312" w:hAnsi="仿宋_GB2312" w:eastAsia="仿宋_GB2312" w:cs="仿宋_GB2312"/>
                <w:snapToGrid w:val="0"/>
                <w:color w:val="000000"/>
                <w:spacing w:val="0"/>
                <w:w w:val="100"/>
                <w:kern w:val="0"/>
                <w:sz w:val="24"/>
                <w:szCs w:val="24"/>
                <w:highlight w:val="none"/>
                <w:lang w:eastAsia="zh-CN"/>
              </w:rPr>
              <w:t>；或索取食品安全信息追溯凭证</w:t>
            </w:r>
            <w:r>
              <w:rPr>
                <w:rFonts w:hint="eastAsia" w:ascii="仿宋_GB2312" w:hAnsi="仿宋_GB2312" w:eastAsia="仿宋_GB2312" w:cs="仿宋_GB2312"/>
                <w:snapToGrid w:val="0"/>
                <w:color w:val="000000"/>
                <w:spacing w:val="0"/>
                <w:w w:val="100"/>
                <w:kern w:val="0"/>
                <w:sz w:val="24"/>
                <w:szCs w:val="24"/>
                <w:highlight w:val="none"/>
              </w:rPr>
              <w:t>。</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3</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9" w:hRule="atLeast"/>
          <w:jc w:val="center"/>
        </w:trPr>
        <w:tc>
          <w:tcPr>
            <w:tcW w:w="1585"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4.经营过程控制情况</w:t>
            </w: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4.2</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lang w:val="en-US" w:eastAsia="zh-CN" w:bidi="ar-SA"/>
              </w:rPr>
            </w:pPr>
            <w:r>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lang w:eastAsia="zh-CN"/>
              </w:rPr>
              <w:t>在</w:t>
            </w:r>
            <w:r>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rPr>
              <w:t>采购按规定应当检疫、检验</w:t>
            </w:r>
            <w:r>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lang w:eastAsia="zh-CN"/>
              </w:rPr>
              <w:t>的</w:t>
            </w:r>
            <w:r>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rPr>
              <w:t>肉类</w:t>
            </w:r>
            <w:r>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lang w:eastAsia="zh-CN"/>
              </w:rPr>
              <w:t>时，索取并留存动物检疫合格证明、肉品品质检验合格证等证明文件。</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2</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7"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4.3</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rPr>
            </w:pPr>
            <w:r>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rPr>
              <w:t>采购进口食用农产品</w:t>
            </w:r>
            <w:r>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lang w:eastAsia="zh-CN"/>
              </w:rPr>
              <w:t>的</w:t>
            </w:r>
            <w:r>
              <w:rPr>
                <w:rFonts w:hint="eastAsia" w:ascii="仿宋_GB2312" w:hAnsi="仿宋_GB2312" w:eastAsia="仿宋_GB2312" w:cs="仿宋_GB2312"/>
                <w:i w:val="0"/>
                <w:iCs w:val="0"/>
                <w:caps w:val="0"/>
                <w:snapToGrid w:val="0"/>
                <w:color w:val="000000"/>
                <w:spacing w:val="0"/>
                <w:w w:val="100"/>
                <w:kern w:val="0"/>
                <w:sz w:val="24"/>
                <w:szCs w:val="24"/>
                <w:highlight w:val="none"/>
                <w:shd w:val="clear" w:color="auto" w:fill="auto"/>
              </w:rPr>
              <w:t>，索取并留存海关部门出具的入境货物检验检疫证明等证明文件。</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1</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4"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lang w:val="en-US" w:eastAsia="zh-CN"/>
              </w:rPr>
              <w:t>4.4</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bidi="ar-SA"/>
              </w:rPr>
            </w:pPr>
            <w:r>
              <w:rPr>
                <w:rFonts w:hint="eastAsia" w:ascii="仿宋_GB2312" w:hAnsi="仿宋_GB2312" w:eastAsia="仿宋_GB2312" w:cs="仿宋_GB2312"/>
                <w:snapToGrid w:val="0"/>
                <w:color w:val="000000"/>
                <w:spacing w:val="0"/>
                <w:w w:val="100"/>
                <w:kern w:val="0"/>
                <w:sz w:val="24"/>
                <w:szCs w:val="24"/>
                <w:highlight w:val="none"/>
              </w:rPr>
              <w:t>按照规定查验并留存所售食用农产品相关票证。进货查验记录和凭证保存期限不少于6个月。</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bidi="ar-SA"/>
              </w:rPr>
            </w:pPr>
            <w:r>
              <w:rPr>
                <w:rFonts w:hint="eastAsia" w:ascii="仿宋_GB2312" w:hAnsi="仿宋_GB2312" w:eastAsia="仿宋_GB2312" w:cs="仿宋_GB2312"/>
                <w:snapToGrid w:val="0"/>
                <w:color w:val="000000"/>
                <w:spacing w:val="0"/>
                <w:w w:val="100"/>
                <w:kern w:val="0"/>
                <w:sz w:val="24"/>
                <w:szCs w:val="24"/>
                <w:highlight w:val="none"/>
              </w:rPr>
              <w:t>□是□否</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bidi="ar-SA"/>
              </w:rPr>
            </w:pPr>
            <w:r>
              <w:rPr>
                <w:rFonts w:hint="eastAsia" w:ascii="仿宋_GB2312" w:hAnsi="仿宋_GB2312" w:eastAsia="仿宋_GB2312" w:cs="仿宋_GB2312"/>
                <w:snapToGrid w:val="0"/>
                <w:color w:val="000000"/>
                <w:spacing w:val="0"/>
                <w:w w:val="100"/>
                <w:kern w:val="0"/>
                <w:sz w:val="24"/>
                <w:szCs w:val="24"/>
                <w:highlight w:val="none"/>
                <w:lang w:val="en-US" w:eastAsia="zh-CN"/>
              </w:rPr>
              <w:t>2</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4.</w:t>
            </w:r>
            <w:r>
              <w:rPr>
                <w:rFonts w:hint="eastAsia" w:ascii="仿宋_GB2312" w:hAnsi="仿宋_GB2312" w:eastAsia="仿宋_GB2312" w:cs="仿宋_GB2312"/>
                <w:snapToGrid w:val="0"/>
                <w:color w:val="000000"/>
                <w:spacing w:val="0"/>
                <w:w w:val="100"/>
                <w:kern w:val="0"/>
                <w:sz w:val="24"/>
                <w:szCs w:val="24"/>
                <w:highlight w:val="none"/>
                <w:lang w:val="en-US" w:eastAsia="zh-CN"/>
              </w:rPr>
              <w:t>5</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yellow"/>
                <w:lang w:eastAsia="zh-CN"/>
              </w:rPr>
            </w:pPr>
            <w:r>
              <w:rPr>
                <w:rFonts w:hint="eastAsia" w:ascii="仿宋_GB2312" w:hAnsi="仿宋_GB2312" w:eastAsia="仿宋_GB2312" w:cs="仿宋_GB2312"/>
                <w:snapToGrid w:val="0"/>
                <w:color w:val="000000"/>
                <w:spacing w:val="0"/>
                <w:w w:val="100"/>
                <w:kern w:val="0"/>
                <w:sz w:val="24"/>
                <w:szCs w:val="24"/>
                <w:highlight w:val="none"/>
                <w:lang w:eastAsia="zh-CN"/>
              </w:rPr>
              <w:t>销售</w:t>
            </w:r>
            <w:r>
              <w:rPr>
                <w:rFonts w:hint="eastAsia" w:ascii="仿宋_GB2312" w:hAnsi="仿宋_GB2312" w:eastAsia="仿宋_GB2312" w:cs="仿宋_GB2312"/>
                <w:snapToGrid w:val="0"/>
                <w:color w:val="000000"/>
                <w:spacing w:val="0"/>
                <w:w w:val="100"/>
                <w:kern w:val="0"/>
                <w:sz w:val="24"/>
                <w:szCs w:val="24"/>
                <w:highlight w:val="none"/>
              </w:rPr>
              <w:t>即食鲜切蔬果</w:t>
            </w:r>
            <w:r>
              <w:rPr>
                <w:rFonts w:hint="eastAsia" w:ascii="仿宋_GB2312" w:hAnsi="仿宋_GB2312" w:eastAsia="仿宋_GB2312" w:cs="仿宋_GB2312"/>
                <w:snapToGrid w:val="0"/>
                <w:color w:val="000000"/>
                <w:spacing w:val="0"/>
                <w:w w:val="100"/>
                <w:kern w:val="0"/>
                <w:sz w:val="24"/>
                <w:szCs w:val="24"/>
                <w:highlight w:val="none"/>
                <w:lang w:eastAsia="zh-CN"/>
              </w:rPr>
              <w:t>的应当满足</w:t>
            </w:r>
            <w:r>
              <w:rPr>
                <w:rFonts w:hint="eastAsia" w:ascii="仿宋_GB2312" w:hAnsi="仿宋_GB2312" w:eastAsia="仿宋_GB2312" w:cs="仿宋_GB2312"/>
                <w:snapToGrid w:val="0"/>
                <w:color w:val="000000"/>
                <w:spacing w:val="0"/>
                <w:w w:val="100"/>
                <w:kern w:val="0"/>
                <w:sz w:val="24"/>
                <w:szCs w:val="24"/>
                <w:highlight w:val="none"/>
              </w:rPr>
              <w:t>餐饮</w:t>
            </w:r>
            <w:r>
              <w:rPr>
                <w:rFonts w:hint="eastAsia" w:ascii="仿宋_GB2312" w:hAnsi="仿宋_GB2312" w:eastAsia="仿宋_GB2312" w:cs="仿宋_GB2312"/>
                <w:snapToGrid w:val="0"/>
                <w:color w:val="000000"/>
                <w:spacing w:val="0"/>
                <w:w w:val="100"/>
                <w:kern w:val="0"/>
                <w:sz w:val="24"/>
                <w:szCs w:val="24"/>
                <w:highlight w:val="none"/>
                <w:lang w:eastAsia="zh-CN"/>
              </w:rPr>
              <w:t>服务</w:t>
            </w:r>
            <w:r>
              <w:rPr>
                <w:rFonts w:hint="eastAsia" w:ascii="仿宋_GB2312" w:hAnsi="仿宋_GB2312" w:eastAsia="仿宋_GB2312" w:cs="仿宋_GB2312"/>
                <w:snapToGrid w:val="0"/>
                <w:color w:val="000000"/>
                <w:spacing w:val="0"/>
                <w:w w:val="100"/>
                <w:kern w:val="0"/>
                <w:sz w:val="24"/>
                <w:szCs w:val="24"/>
                <w:highlight w:val="none"/>
              </w:rPr>
              <w:t>环节水果加工管理</w:t>
            </w:r>
            <w:r>
              <w:rPr>
                <w:rFonts w:hint="eastAsia" w:ascii="仿宋_GB2312" w:hAnsi="仿宋_GB2312" w:eastAsia="仿宋_GB2312" w:cs="仿宋_GB2312"/>
                <w:snapToGrid w:val="0"/>
                <w:color w:val="000000"/>
                <w:spacing w:val="0"/>
                <w:w w:val="100"/>
                <w:kern w:val="0"/>
                <w:sz w:val="24"/>
                <w:szCs w:val="24"/>
                <w:highlight w:val="none"/>
                <w:lang w:eastAsia="zh-CN"/>
              </w:rPr>
              <w:t>要求。</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6</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rPr>
              <w:t>4.</w:t>
            </w:r>
            <w:r>
              <w:rPr>
                <w:rFonts w:hint="eastAsia" w:ascii="仿宋_GB2312" w:hAnsi="仿宋_GB2312" w:eastAsia="仿宋_GB2312" w:cs="仿宋_GB2312"/>
                <w:snapToGrid w:val="0"/>
                <w:color w:val="000000"/>
                <w:spacing w:val="0"/>
                <w:w w:val="100"/>
                <w:kern w:val="0"/>
                <w:sz w:val="24"/>
                <w:szCs w:val="24"/>
                <w:highlight w:val="none"/>
                <w:lang w:val="en-US" w:eastAsia="zh-CN"/>
              </w:rPr>
              <w:t>6</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lang w:eastAsia="zh-CN"/>
              </w:rPr>
              <w:t>不得使用能够显著改变生鲜食用农产品原有色泽、质感等感官性状的照明设备</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1</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4.</w:t>
            </w:r>
            <w:r>
              <w:rPr>
                <w:rFonts w:hint="eastAsia" w:ascii="仿宋_GB2312" w:hAnsi="仿宋_GB2312" w:eastAsia="仿宋_GB2312" w:cs="仿宋_GB2312"/>
                <w:snapToGrid w:val="0"/>
                <w:color w:val="000000"/>
                <w:spacing w:val="0"/>
                <w:w w:val="100"/>
                <w:kern w:val="0"/>
                <w:sz w:val="24"/>
                <w:szCs w:val="24"/>
                <w:highlight w:val="none"/>
                <w:lang w:val="en-US" w:eastAsia="zh-CN"/>
              </w:rPr>
              <w:t>7</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lang w:eastAsia="zh-CN"/>
              </w:rPr>
              <w:t>不得销售禁止经营的食用农产品。</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4</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8"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rPr>
              <w:t>4.</w:t>
            </w:r>
            <w:r>
              <w:rPr>
                <w:rFonts w:hint="eastAsia" w:ascii="仿宋_GB2312" w:hAnsi="仿宋_GB2312" w:eastAsia="仿宋_GB2312" w:cs="仿宋_GB2312"/>
                <w:snapToGrid w:val="0"/>
                <w:color w:val="000000"/>
                <w:spacing w:val="0"/>
                <w:w w:val="100"/>
                <w:kern w:val="0"/>
                <w:sz w:val="24"/>
                <w:szCs w:val="24"/>
                <w:highlight w:val="none"/>
                <w:lang w:val="en-US" w:eastAsia="zh-CN"/>
              </w:rPr>
              <w:t>8</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eastAsia="zh-CN"/>
              </w:rPr>
              <w:t>销售者自行运输或者委托承运人运输食用农产品的，运输容器、工具和设备应当安全无害，保持清洁，并符合保证质量安全所需的温度、湿度和环境等特殊要求，不得与有毒、有害物品一同运输。</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eastAsia="zh-CN"/>
              </w:rPr>
              <w:t>1</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4.</w:t>
            </w:r>
            <w:r>
              <w:rPr>
                <w:rFonts w:hint="eastAsia" w:ascii="仿宋_GB2312" w:hAnsi="仿宋_GB2312" w:eastAsia="仿宋_GB2312" w:cs="仿宋_GB2312"/>
                <w:snapToGrid w:val="0"/>
                <w:color w:val="000000"/>
                <w:spacing w:val="0"/>
                <w:w w:val="100"/>
                <w:kern w:val="0"/>
                <w:sz w:val="24"/>
                <w:szCs w:val="24"/>
                <w:highlight w:val="none"/>
                <w:lang w:val="en-US" w:eastAsia="zh-CN"/>
              </w:rPr>
              <w:t>9</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lang w:eastAsia="zh-CN"/>
              </w:rPr>
              <w:t>食用农产品批发销售者，按照规定上传食品安全追溯信息。</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2</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60"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rPr>
              <w:t>4.</w:t>
            </w:r>
            <w:r>
              <w:rPr>
                <w:rFonts w:hint="eastAsia" w:ascii="仿宋_GB2312" w:hAnsi="仿宋_GB2312" w:eastAsia="仿宋_GB2312" w:cs="仿宋_GB2312"/>
                <w:snapToGrid w:val="0"/>
                <w:color w:val="000000"/>
                <w:spacing w:val="0"/>
                <w:w w:val="100"/>
                <w:kern w:val="0"/>
                <w:sz w:val="24"/>
                <w:szCs w:val="24"/>
                <w:highlight w:val="none"/>
                <w:lang w:val="en-US" w:eastAsia="zh-CN"/>
              </w:rPr>
              <w:t>10</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定期</w:t>
            </w:r>
            <w:r>
              <w:rPr>
                <w:rFonts w:hint="eastAsia" w:ascii="仿宋_GB2312" w:hAnsi="仿宋_GB2312" w:eastAsia="仿宋_GB2312" w:cs="仿宋_GB2312"/>
                <w:snapToGrid w:val="0"/>
                <w:color w:val="000000"/>
                <w:spacing w:val="0"/>
                <w:w w:val="100"/>
                <w:kern w:val="0"/>
                <w:sz w:val="24"/>
                <w:szCs w:val="24"/>
                <w:highlight w:val="none"/>
                <w:lang w:eastAsia="zh-CN"/>
              </w:rPr>
              <w:t>检查</w:t>
            </w:r>
            <w:r>
              <w:rPr>
                <w:rFonts w:hint="eastAsia" w:ascii="仿宋_GB2312" w:hAnsi="仿宋_GB2312" w:eastAsia="仿宋_GB2312" w:cs="仿宋_GB2312"/>
                <w:snapToGrid w:val="0"/>
                <w:color w:val="000000"/>
                <w:spacing w:val="0"/>
                <w:w w:val="100"/>
                <w:kern w:val="0"/>
                <w:sz w:val="24"/>
                <w:szCs w:val="24"/>
                <w:highlight w:val="none"/>
              </w:rPr>
              <w:t>质量安全情况，及时清理腐败变质、油脂酸败、霉变生虫或者感官性状异常的食用农产品</w:t>
            </w:r>
            <w:r>
              <w:rPr>
                <w:rFonts w:hint="eastAsia" w:ascii="仿宋_GB2312" w:hAnsi="仿宋_GB2312" w:eastAsia="仿宋_GB2312" w:cs="仿宋_GB2312"/>
                <w:snapToGrid w:val="0"/>
                <w:color w:val="000000"/>
                <w:spacing w:val="0"/>
                <w:w w:val="100"/>
                <w:kern w:val="0"/>
                <w:sz w:val="24"/>
                <w:szCs w:val="24"/>
                <w:highlight w:val="none"/>
                <w:lang w:eastAsia="zh-CN"/>
              </w:rPr>
              <w:t>；对有证据证明不符合食品安全标准或者存在质量安全隐患的食用农产品，</w:t>
            </w:r>
            <w:r>
              <w:rPr>
                <w:rFonts w:hint="eastAsia" w:ascii="仿宋_GB2312" w:hAnsi="仿宋_GB2312" w:eastAsia="仿宋_GB2312" w:cs="仿宋_GB2312"/>
                <w:snapToGrid w:val="0"/>
                <w:color w:val="000000"/>
                <w:spacing w:val="0"/>
                <w:w w:val="100"/>
                <w:kern w:val="0"/>
                <w:sz w:val="24"/>
                <w:szCs w:val="24"/>
                <w:highlight w:val="none"/>
              </w:rPr>
              <w:t>立即停止销售，通知相关生产经营者、消费者，召回，</w:t>
            </w:r>
            <w:r>
              <w:rPr>
                <w:rFonts w:hint="eastAsia" w:ascii="仿宋_GB2312" w:hAnsi="仿宋_GB2312" w:eastAsia="仿宋_GB2312" w:cs="仿宋_GB2312"/>
                <w:snapToGrid w:val="0"/>
                <w:color w:val="000000"/>
                <w:spacing w:val="0"/>
                <w:w w:val="100"/>
                <w:kern w:val="0"/>
                <w:sz w:val="24"/>
                <w:szCs w:val="24"/>
                <w:highlight w:val="none"/>
                <w:lang w:eastAsia="zh-CN"/>
              </w:rPr>
              <w:t>配合集中交易市场开办者或市场监管部门开展</w:t>
            </w:r>
            <w:r>
              <w:rPr>
                <w:rFonts w:hint="eastAsia" w:ascii="仿宋_GB2312" w:hAnsi="仿宋_GB2312" w:eastAsia="仿宋_GB2312" w:cs="仿宋_GB2312"/>
                <w:snapToGrid w:val="0"/>
                <w:color w:val="000000"/>
                <w:spacing w:val="0"/>
                <w:w w:val="100"/>
                <w:kern w:val="0"/>
                <w:sz w:val="24"/>
                <w:szCs w:val="24"/>
                <w:highlight w:val="none"/>
              </w:rPr>
              <w:t>无害化处理、销毁</w:t>
            </w:r>
            <w:r>
              <w:rPr>
                <w:rFonts w:hint="eastAsia" w:ascii="仿宋_GB2312" w:hAnsi="仿宋_GB2312" w:eastAsia="仿宋_GB2312" w:cs="仿宋_GB2312"/>
                <w:snapToGrid w:val="0"/>
                <w:color w:val="000000"/>
                <w:spacing w:val="0"/>
                <w:w w:val="100"/>
                <w:kern w:val="0"/>
                <w:sz w:val="24"/>
                <w:szCs w:val="24"/>
                <w:highlight w:val="none"/>
                <w:lang w:eastAsia="zh-CN"/>
              </w:rPr>
              <w:t>。</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eastAsia="zh-CN"/>
              </w:rPr>
              <w:t>1</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4.11</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trike w:val="0"/>
                <w:snapToGrid w:val="0"/>
                <w:color w:val="000000"/>
                <w:spacing w:val="0"/>
                <w:w w:val="100"/>
                <w:kern w:val="0"/>
                <w:sz w:val="24"/>
                <w:szCs w:val="24"/>
                <w:highlight w:val="none"/>
                <w:lang w:val="en-US" w:eastAsia="zh-CN"/>
              </w:rPr>
              <w:t>食用农产品停止销售、召回和处理情况向所在地县级市场监督管理部门报告</w:t>
            </w:r>
            <w:r>
              <w:rPr>
                <w:rFonts w:hint="eastAsia" w:ascii="仿宋_GB2312" w:hAnsi="仿宋_GB2312" w:eastAsia="仿宋_GB2312" w:cs="仿宋_GB2312"/>
                <w:strike w:val="0"/>
                <w:snapToGrid w:val="0"/>
                <w:color w:val="000000"/>
                <w:spacing w:val="0"/>
                <w:w w:val="100"/>
                <w:kern w:val="0"/>
                <w:sz w:val="24"/>
                <w:szCs w:val="24"/>
                <w:highlight w:val="none"/>
              </w:rPr>
              <w:t>，并记录相关情况</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1</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173" w:type="dxa"/>
            <w:gridSpan w:val="7"/>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黑体" w:hAnsi="黑体" w:eastAsia="黑体" w:cs="黑体"/>
                <w:b w:val="0"/>
                <w:bCs w:val="0"/>
                <w:snapToGrid w:val="0"/>
                <w:color w:val="000000"/>
                <w:spacing w:val="0"/>
                <w:w w:val="100"/>
                <w:kern w:val="0"/>
                <w:sz w:val="24"/>
                <w:szCs w:val="24"/>
                <w:highlight w:val="none"/>
              </w:rPr>
              <w:t>食用农产品销售企业特有检查项目（2项8分）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3" w:hRule="atLeast"/>
          <w:jc w:val="center"/>
        </w:trPr>
        <w:tc>
          <w:tcPr>
            <w:tcW w:w="1585"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spacing w:val="0"/>
                <w:w w:val="100"/>
                <w:kern w:val="0"/>
                <w:sz w:val="24"/>
                <w:szCs w:val="24"/>
                <w:lang w:val="en-US" w:eastAsia="zh-CN" w:bidi="ar-SA"/>
              </w:rPr>
            </w:pPr>
            <w:r>
              <w:rPr>
                <w:rFonts w:hint="eastAsia" w:ascii="仿宋_GB2312" w:hAnsi="仿宋_GB2312" w:eastAsia="仿宋_GB2312" w:cs="仿宋_GB2312"/>
                <w:snapToGrid w:val="0"/>
                <w:color w:val="000000"/>
                <w:spacing w:val="0"/>
                <w:w w:val="100"/>
                <w:kern w:val="0"/>
                <w:sz w:val="24"/>
                <w:szCs w:val="24"/>
                <w:highlight w:val="none"/>
              </w:rPr>
              <w:t>5.食用农产品销售企业</w:t>
            </w: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bidi="ar-SA"/>
              </w:rPr>
            </w:pP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rPr>
              <w:t>5</w:t>
            </w:r>
            <w:r>
              <w:rPr>
                <w:rFonts w:hint="eastAsia" w:ascii="仿宋_GB2312" w:hAnsi="仿宋_GB2312" w:eastAsia="仿宋_GB2312" w:cs="仿宋_GB2312"/>
                <w:snapToGrid w:val="0"/>
                <w:color w:val="000000"/>
                <w:spacing w:val="0"/>
                <w:w w:val="100"/>
                <w:kern w:val="0"/>
                <w:sz w:val="24"/>
                <w:szCs w:val="24"/>
                <w:highlight w:val="none"/>
                <w:lang w:val="en-US"/>
              </w:rPr>
              <w:t>.</w:t>
            </w:r>
            <w:r>
              <w:rPr>
                <w:rFonts w:hint="eastAsia" w:ascii="仿宋_GB2312" w:hAnsi="仿宋_GB2312" w:eastAsia="仿宋_GB2312" w:cs="仿宋_GB2312"/>
                <w:snapToGrid w:val="0"/>
                <w:color w:val="000000"/>
                <w:spacing w:val="0"/>
                <w:w w:val="100"/>
                <w:kern w:val="0"/>
                <w:sz w:val="24"/>
                <w:szCs w:val="24"/>
                <w:highlight w:val="none"/>
                <w:lang w:val="en-US" w:eastAsia="zh-CN"/>
              </w:rPr>
              <w:t>1</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bidi="ar-SA"/>
              </w:rPr>
            </w:pPr>
            <w:r>
              <w:rPr>
                <w:rFonts w:hint="eastAsia" w:ascii="仿宋_GB2312" w:hAnsi="仿宋_GB2312" w:eastAsia="仿宋_GB2312" w:cs="仿宋_GB2312"/>
                <w:snapToGrid w:val="0"/>
                <w:color w:val="000000"/>
                <w:spacing w:val="0"/>
                <w:w w:val="100"/>
                <w:kern w:val="0"/>
                <w:sz w:val="24"/>
                <w:szCs w:val="24"/>
                <w:highlight w:val="none"/>
              </w:rPr>
              <w:t>实行统一配送销售方式并由企业总部统一建立进货查验记录制度的食用农产品销售企业，所属各销售门店保存总部的配送清单</w:t>
            </w:r>
            <w:r>
              <w:rPr>
                <w:rFonts w:hint="eastAsia" w:ascii="仿宋_GB2312" w:hAnsi="仿宋_GB2312" w:eastAsia="仿宋_GB2312" w:cs="仿宋_GB2312"/>
                <w:snapToGrid w:val="0"/>
                <w:color w:val="000000"/>
                <w:spacing w:val="0"/>
                <w:w w:val="100"/>
                <w:kern w:val="0"/>
                <w:sz w:val="24"/>
                <w:szCs w:val="24"/>
                <w:highlight w:val="none"/>
                <w:lang w:eastAsia="zh-CN"/>
              </w:rPr>
              <w:t>，提供可查验相应凭证的方式，配送清单保存期限不得少于</w:t>
            </w:r>
            <w:r>
              <w:rPr>
                <w:rFonts w:hint="eastAsia" w:ascii="仿宋_GB2312" w:hAnsi="仿宋_GB2312" w:eastAsia="仿宋_GB2312" w:cs="仿宋_GB2312"/>
                <w:snapToGrid w:val="0"/>
                <w:color w:val="000000"/>
                <w:spacing w:val="0"/>
                <w:w w:val="100"/>
                <w:kern w:val="0"/>
                <w:sz w:val="24"/>
                <w:szCs w:val="24"/>
                <w:highlight w:val="none"/>
                <w:lang w:val="en-US" w:eastAsia="zh-CN"/>
              </w:rPr>
              <w:t>6</w:t>
            </w:r>
            <w:r>
              <w:rPr>
                <w:rFonts w:hint="eastAsia" w:ascii="仿宋_GB2312" w:hAnsi="仿宋_GB2312" w:eastAsia="仿宋_GB2312" w:cs="仿宋_GB2312"/>
                <w:snapToGrid w:val="0"/>
                <w:color w:val="000000"/>
                <w:spacing w:val="0"/>
                <w:w w:val="100"/>
                <w:kern w:val="0"/>
                <w:sz w:val="24"/>
                <w:szCs w:val="24"/>
                <w:highlight w:val="none"/>
                <w:lang w:eastAsia="zh-CN"/>
              </w:rPr>
              <w:t>个月。</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bidi="ar-SA"/>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lang w:val="en-US" w:eastAsia="zh-CN"/>
              </w:rPr>
              <w:t>4</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26" w:hRule="atLeast"/>
          <w:jc w:val="center"/>
        </w:trPr>
        <w:tc>
          <w:tcPr>
            <w:tcW w:w="158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rPr>
            </w:pPr>
          </w:p>
        </w:tc>
        <w:tc>
          <w:tcPr>
            <w:tcW w:w="1068"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bidi="ar-SA"/>
              </w:rPr>
            </w:pPr>
            <w:r>
              <w:rPr>
                <w:rFonts w:hint="eastAsia" w:ascii="仿宋_GB2312" w:hAnsi="仿宋_GB2312" w:eastAsia="仿宋_GB2312" w:cs="仿宋_GB2312"/>
                <w:snapToGrid w:val="0"/>
                <w:color w:val="000000"/>
                <w:spacing w:val="0"/>
                <w:w w:val="100"/>
                <w:kern w:val="0"/>
                <w:sz w:val="24"/>
                <w:szCs w:val="24"/>
                <w:highlight w:val="none"/>
              </w:rPr>
              <w:t>★</w:t>
            </w:r>
            <w:r>
              <w:rPr>
                <w:rFonts w:hint="eastAsia" w:ascii="仿宋_GB2312" w:hAnsi="仿宋_GB2312" w:eastAsia="仿宋_GB2312" w:cs="仿宋_GB2312"/>
                <w:snapToGrid w:val="0"/>
                <w:color w:val="000000"/>
                <w:spacing w:val="0"/>
                <w:w w:val="100"/>
                <w:kern w:val="0"/>
                <w:sz w:val="24"/>
                <w:szCs w:val="24"/>
                <w:highlight w:val="none"/>
                <w:lang w:val="en-US" w:eastAsia="zh-CN"/>
              </w:rPr>
              <w:t>5.2</w:t>
            </w:r>
          </w:p>
        </w:tc>
        <w:tc>
          <w:tcPr>
            <w:tcW w:w="73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bidi="ar-SA"/>
              </w:rPr>
            </w:pPr>
            <w:r>
              <w:rPr>
                <w:rFonts w:hint="eastAsia" w:ascii="仿宋_GB2312" w:hAnsi="仿宋_GB2312" w:eastAsia="仿宋_GB2312" w:cs="仿宋_GB2312"/>
                <w:snapToGrid w:val="0"/>
                <w:color w:val="000000"/>
                <w:spacing w:val="0"/>
                <w:w w:val="100"/>
                <w:kern w:val="0"/>
                <w:sz w:val="24"/>
                <w:szCs w:val="24"/>
                <w:highlight w:val="none"/>
              </w:rPr>
              <w:t>从事批发业务的食用农产品销售企业，建立食用农产品销售记录制度，如实记录批发食用农产品</w:t>
            </w:r>
            <w:r>
              <w:rPr>
                <w:rFonts w:hint="eastAsia" w:ascii="仿宋_GB2312" w:hAnsi="仿宋_GB2312" w:eastAsia="仿宋_GB2312" w:cs="仿宋_GB2312"/>
                <w:snapToGrid w:val="0"/>
                <w:color w:val="000000"/>
                <w:spacing w:val="0"/>
                <w:w w:val="100"/>
                <w:kern w:val="0"/>
                <w:sz w:val="24"/>
                <w:szCs w:val="24"/>
                <w:highlight w:val="none"/>
                <w:lang w:eastAsia="zh-CN"/>
              </w:rPr>
              <w:t>的</w:t>
            </w:r>
            <w:r>
              <w:rPr>
                <w:rFonts w:hint="eastAsia" w:ascii="仿宋_GB2312" w:hAnsi="仿宋_GB2312" w:eastAsia="仿宋_GB2312" w:cs="仿宋_GB2312"/>
                <w:snapToGrid w:val="0"/>
                <w:color w:val="000000"/>
                <w:spacing w:val="0"/>
                <w:w w:val="100"/>
                <w:kern w:val="0"/>
                <w:sz w:val="24"/>
                <w:szCs w:val="24"/>
                <w:highlight w:val="none"/>
              </w:rPr>
              <w:t>名称、数量、</w:t>
            </w:r>
            <w:r>
              <w:rPr>
                <w:rFonts w:hint="eastAsia" w:ascii="仿宋_GB2312" w:hAnsi="仿宋_GB2312" w:eastAsia="仿宋_GB2312" w:cs="仿宋_GB2312"/>
                <w:snapToGrid w:val="0"/>
                <w:color w:val="000000"/>
                <w:spacing w:val="0"/>
                <w:w w:val="100"/>
                <w:kern w:val="0"/>
                <w:sz w:val="24"/>
                <w:szCs w:val="24"/>
                <w:highlight w:val="none"/>
                <w:lang w:eastAsia="zh-CN"/>
              </w:rPr>
              <w:t>进货日期、</w:t>
            </w:r>
            <w:r>
              <w:rPr>
                <w:rFonts w:hint="eastAsia" w:ascii="仿宋_GB2312" w:hAnsi="仿宋_GB2312" w:eastAsia="仿宋_GB2312" w:cs="仿宋_GB2312"/>
                <w:snapToGrid w:val="0"/>
                <w:color w:val="000000"/>
                <w:spacing w:val="0"/>
                <w:w w:val="100"/>
                <w:kern w:val="0"/>
                <w:sz w:val="24"/>
                <w:szCs w:val="24"/>
                <w:highlight w:val="none"/>
              </w:rPr>
              <w:t>销售日期以及购货者名称、地址、联系方式等内容，并保存相关凭证</w:t>
            </w:r>
            <w:r>
              <w:rPr>
                <w:rFonts w:hint="eastAsia" w:ascii="仿宋_GB2312" w:hAnsi="仿宋_GB2312" w:eastAsia="仿宋_GB2312" w:cs="仿宋_GB2312"/>
                <w:snapToGrid w:val="0"/>
                <w:color w:val="000000"/>
                <w:spacing w:val="0"/>
                <w:w w:val="100"/>
                <w:kern w:val="0"/>
                <w:sz w:val="24"/>
                <w:szCs w:val="24"/>
                <w:highlight w:val="none"/>
                <w:lang w:eastAsia="zh-CN"/>
              </w:rPr>
              <w:t>。记录和凭证保存期限不得少于</w:t>
            </w:r>
            <w:r>
              <w:rPr>
                <w:rFonts w:hint="eastAsia" w:ascii="仿宋_GB2312" w:hAnsi="仿宋_GB2312" w:eastAsia="仿宋_GB2312" w:cs="仿宋_GB2312"/>
                <w:snapToGrid w:val="0"/>
                <w:color w:val="000000"/>
                <w:spacing w:val="0"/>
                <w:w w:val="100"/>
                <w:kern w:val="0"/>
                <w:sz w:val="24"/>
                <w:szCs w:val="24"/>
                <w:highlight w:val="none"/>
                <w:lang w:val="en-US" w:eastAsia="zh-CN"/>
              </w:rPr>
              <w:t>6个月</w:t>
            </w:r>
          </w:p>
        </w:tc>
        <w:tc>
          <w:tcPr>
            <w:tcW w:w="189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rPr>
            </w:pPr>
            <w:r>
              <w:rPr>
                <w:rFonts w:hint="eastAsia" w:ascii="仿宋_GB2312" w:hAnsi="仿宋_GB2312" w:eastAsia="仿宋_GB2312" w:cs="仿宋_GB2312"/>
                <w:snapToGrid w:val="0"/>
                <w:color w:val="000000"/>
                <w:spacing w:val="0"/>
                <w:w w:val="100"/>
                <w:kern w:val="0"/>
                <w:sz w:val="24"/>
                <w:szCs w:val="24"/>
                <w:highlight w:val="none"/>
              </w:rPr>
              <w:t>□是□否</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bidi="ar-SA"/>
              </w:rPr>
            </w:pPr>
            <w:r>
              <w:rPr>
                <w:rFonts w:hint="eastAsia" w:ascii="仿宋_GB2312" w:hAnsi="仿宋_GB2312" w:eastAsia="仿宋_GB2312" w:cs="仿宋_GB2312"/>
                <w:snapToGrid w:val="0"/>
                <w:color w:val="000000"/>
                <w:spacing w:val="0"/>
                <w:w w:val="100"/>
                <w:kern w:val="0"/>
                <w:sz w:val="24"/>
                <w:szCs w:val="24"/>
                <w:highlight w:val="none"/>
              </w:rPr>
              <w:t>□合理缺项</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eastAsia="zh-CN"/>
              </w:rPr>
            </w:pPr>
            <w:r>
              <w:rPr>
                <w:rFonts w:hint="eastAsia" w:ascii="仿宋_GB2312" w:hAnsi="仿宋_GB2312" w:eastAsia="仿宋_GB2312" w:cs="仿宋_GB2312"/>
                <w:snapToGrid w:val="0"/>
                <w:color w:val="000000"/>
                <w:spacing w:val="0"/>
                <w:w w:val="100"/>
                <w:kern w:val="0"/>
                <w:sz w:val="24"/>
                <w:szCs w:val="24"/>
                <w:highlight w:val="none"/>
                <w:lang w:val="en-US" w:eastAsia="zh-CN"/>
              </w:rPr>
              <w:t>4</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c>
          <w:tcPr>
            <w:tcW w:w="77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w w:val="10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865"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w w:val="100"/>
                <w:kern w:val="0"/>
                <w:sz w:val="24"/>
                <w:szCs w:val="24"/>
                <w:highlight w:val="none"/>
                <w:lang w:eastAsia="zh-CN"/>
              </w:rPr>
            </w:pPr>
            <w:r>
              <w:rPr>
                <w:rFonts w:hint="eastAsia" w:ascii="黑体" w:hAnsi="黑体" w:eastAsia="黑体" w:cs="黑体"/>
                <w:snapToGrid w:val="0"/>
                <w:color w:val="000000"/>
                <w:spacing w:val="0"/>
                <w:w w:val="100"/>
                <w:kern w:val="0"/>
                <w:sz w:val="24"/>
                <w:szCs w:val="24"/>
                <w:highlight w:val="none"/>
                <w:lang w:eastAsia="zh-CN"/>
              </w:rPr>
              <w:t>总计</w:t>
            </w:r>
          </w:p>
        </w:tc>
        <w:tc>
          <w:tcPr>
            <w:tcW w:w="7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w w:val="100"/>
                <w:kern w:val="0"/>
                <w:sz w:val="24"/>
                <w:szCs w:val="24"/>
                <w:highlight w:val="none"/>
                <w:lang w:val="en-US" w:eastAsia="zh-CN"/>
              </w:rPr>
            </w:pPr>
            <w:r>
              <w:rPr>
                <w:rFonts w:hint="eastAsia" w:ascii="黑体" w:hAnsi="黑体" w:eastAsia="黑体" w:cs="黑体"/>
                <w:snapToGrid w:val="0"/>
                <w:color w:val="000000"/>
                <w:spacing w:val="0"/>
                <w:w w:val="100"/>
                <w:kern w:val="0"/>
                <w:sz w:val="24"/>
                <w:szCs w:val="24"/>
                <w:highlight w:val="none"/>
                <w:lang w:val="en-US" w:eastAsia="zh-CN"/>
              </w:rPr>
              <w:t>40</w:t>
            </w:r>
          </w:p>
        </w:tc>
        <w:tc>
          <w:tcPr>
            <w:tcW w:w="1539"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w w:val="100"/>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5" w:hRule="atLeast"/>
          <w:jc w:val="center"/>
        </w:trPr>
        <w:tc>
          <w:tcPr>
            <w:tcW w:w="14173" w:type="dxa"/>
            <w:gridSpan w:val="7"/>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黑体" w:hAnsi="黑体" w:eastAsia="黑体" w:cs="黑体"/>
                <w:snapToGrid w:val="0"/>
                <w:color w:val="000000"/>
                <w:spacing w:val="0"/>
                <w:w w:val="100"/>
                <w:kern w:val="0"/>
                <w:sz w:val="24"/>
                <w:szCs w:val="24"/>
                <w:highlight w:val="none"/>
              </w:rPr>
            </w:pPr>
            <w:r>
              <w:rPr>
                <w:rFonts w:hint="eastAsia" w:ascii="黑体" w:hAnsi="黑体" w:eastAsia="黑体" w:cs="黑体"/>
                <w:snapToGrid w:val="0"/>
                <w:color w:val="000000"/>
                <w:spacing w:val="0"/>
                <w:w w:val="100"/>
                <w:kern w:val="0"/>
                <w:sz w:val="24"/>
                <w:szCs w:val="24"/>
                <w:highlight w:val="none"/>
              </w:rPr>
              <w:t>其他需要记录的问题：</w:t>
            </w: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黑体" w:hAnsi="黑体" w:eastAsia="黑体" w:cs="黑体"/>
                <w:snapToGrid w:val="0"/>
                <w:color w:val="000000"/>
                <w:spacing w:val="0"/>
                <w:w w:val="100"/>
                <w:kern w:val="0"/>
                <w:sz w:val="24"/>
                <w:szCs w:val="24"/>
                <w:highlight w:val="none"/>
              </w:rPr>
            </w:pP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黑体" w:hAnsi="黑体" w:eastAsia="黑体" w:cs="黑体"/>
                <w:snapToGrid w:val="0"/>
                <w:color w:val="000000"/>
                <w:spacing w:val="0"/>
                <w:w w:val="100"/>
                <w:kern w:val="0"/>
                <w:sz w:val="24"/>
                <w:szCs w:val="24"/>
                <w:highlight w:val="none"/>
              </w:rPr>
            </w:pPr>
          </w:p>
          <w:p>
            <w:pPr>
              <w:keepNext w:val="0"/>
              <w:keepLines w:val="0"/>
              <w:pageBreakBefore w:val="0"/>
              <w:widowControl w:val="0"/>
              <w:kinsoku/>
              <w:wordWrap/>
              <w:overflowPunct w:val="0"/>
              <w:topLinePunct w:val="0"/>
              <w:autoSpaceDE/>
              <w:autoSpaceDN/>
              <w:bidi w:val="0"/>
              <w:adjustRightInd w:val="0"/>
              <w:snapToGrid w:val="0"/>
              <w:spacing w:line="240" w:lineRule="auto"/>
              <w:jc w:val="left"/>
              <w:textAlignment w:val="auto"/>
              <w:rPr>
                <w:rFonts w:hint="eastAsia" w:ascii="黑体" w:hAnsi="黑体" w:eastAsia="黑体" w:cs="黑体"/>
                <w:snapToGrid w:val="0"/>
                <w:color w:val="000000"/>
                <w:spacing w:val="0"/>
                <w:w w:val="100"/>
                <w:kern w:val="0"/>
                <w:sz w:val="24"/>
                <w:szCs w:val="24"/>
                <w:highlight w:val="none"/>
              </w:rPr>
            </w:pPr>
          </w:p>
        </w:tc>
      </w:tr>
    </w:tbl>
    <w:p>
      <w:pPr>
        <w:keepNext w:val="0"/>
        <w:keepLines w:val="0"/>
        <w:pageBreakBefore w:val="0"/>
        <w:widowControl w:val="0"/>
        <w:kinsoku/>
        <w:wordWrap/>
        <w:overflowPunct w:val="0"/>
        <w:topLinePunct w:val="0"/>
        <w:autoSpaceDE/>
        <w:autoSpaceDN/>
        <w:bidi w:val="0"/>
        <w:adjustRightInd w:val="0"/>
        <w:snapToGrid w:val="0"/>
        <w:spacing w:before="157" w:beforeLines="50" w:line="400" w:lineRule="exact"/>
        <w:ind w:left="0" w:leftChars="0"/>
        <w:jc w:val="both"/>
        <w:textAlignment w:val="auto"/>
        <w:rPr>
          <w:rFonts w:hint="eastAsia" w:ascii="楷体_GB2312" w:hAnsi="楷体_GB2312" w:eastAsia="楷体_GB2312" w:cs="楷体_GB2312"/>
          <w:color w:val="000000"/>
          <w:spacing w:val="-6"/>
          <w:kern w:val="0"/>
          <w:sz w:val="28"/>
          <w:szCs w:val="28"/>
          <w:highlight w:val="none"/>
          <w:lang w:eastAsia="zh-CN"/>
        </w:rPr>
      </w:pPr>
      <w:r>
        <w:rPr>
          <w:rFonts w:hint="eastAsia" w:ascii="楷体_GB2312" w:hAnsi="楷体_GB2312" w:eastAsia="楷体_GB2312" w:cs="楷体_GB2312"/>
          <w:color w:val="000000"/>
          <w:spacing w:val="-6"/>
          <w:kern w:val="0"/>
          <w:sz w:val="28"/>
          <w:szCs w:val="28"/>
          <w:highlight w:val="none"/>
          <w:lang w:eastAsia="zh-CN"/>
        </w:rPr>
        <w:t>备注：</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eastAsia" w:ascii="楷体_GB2312" w:hAnsi="楷体_GB2312" w:eastAsia="楷体_GB2312" w:cs="楷体_GB2312"/>
          <w:color w:val="000000"/>
          <w:spacing w:val="-6"/>
          <w:kern w:val="0"/>
          <w:sz w:val="28"/>
          <w:szCs w:val="28"/>
          <w:highlight w:val="none"/>
        </w:rPr>
      </w:pPr>
      <w:r>
        <w:rPr>
          <w:rFonts w:hint="eastAsia" w:ascii="楷体_GB2312" w:hAnsi="楷体_GB2312" w:eastAsia="楷体_GB2312" w:cs="楷体_GB2312"/>
          <w:color w:val="000000"/>
          <w:spacing w:val="-6"/>
          <w:kern w:val="0"/>
          <w:sz w:val="28"/>
          <w:szCs w:val="28"/>
          <w:highlight w:val="none"/>
        </w:rPr>
        <w:t>1.</w:t>
      </w:r>
      <w:r>
        <w:rPr>
          <w:rFonts w:hint="eastAsia" w:ascii="楷体_GB2312" w:hAnsi="楷体_GB2312" w:eastAsia="楷体_GB2312" w:cs="楷体_GB2312"/>
          <w:color w:val="000000"/>
          <w:spacing w:val="-6"/>
          <w:kern w:val="0"/>
          <w:sz w:val="28"/>
          <w:szCs w:val="28"/>
          <w:highlight w:val="none"/>
          <w:lang w:eastAsia="zh-CN"/>
        </w:rPr>
        <w:t>本表适用于</w:t>
      </w:r>
      <w:r>
        <w:rPr>
          <w:rFonts w:hint="eastAsia" w:ascii="楷体_GB2312" w:hAnsi="楷体_GB2312" w:eastAsia="楷体_GB2312" w:cs="楷体_GB2312"/>
          <w:color w:val="000000"/>
          <w:spacing w:val="-6"/>
          <w:kern w:val="0"/>
          <w:sz w:val="28"/>
          <w:szCs w:val="28"/>
          <w:highlight w:val="none"/>
        </w:rPr>
        <w:t>只经营食用农产品的销售者</w:t>
      </w:r>
      <w:r>
        <w:rPr>
          <w:rFonts w:hint="eastAsia" w:ascii="楷体_GB2312" w:hAnsi="楷体_GB2312" w:eastAsia="楷体_GB2312" w:cs="楷体_GB2312"/>
          <w:color w:val="000000"/>
          <w:spacing w:val="-6"/>
          <w:kern w:val="0"/>
          <w:sz w:val="28"/>
          <w:szCs w:val="28"/>
          <w:highlight w:val="none"/>
          <w:lang w:eastAsia="zh-CN"/>
        </w:rPr>
        <w:t>，不适用于同时销售食品和食用农产品的销售者</w:t>
      </w:r>
      <w:r>
        <w:rPr>
          <w:rFonts w:hint="eastAsia" w:ascii="楷体_GB2312" w:hAnsi="楷体_GB2312" w:eastAsia="楷体_GB2312" w:cs="楷体_GB2312"/>
          <w:color w:val="000000"/>
          <w:spacing w:val="-6"/>
          <w:kern w:val="0"/>
          <w:sz w:val="28"/>
          <w:szCs w:val="28"/>
          <w:highlight w:val="none"/>
        </w:rPr>
        <w:t>。</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eastAsia" w:ascii="楷体_GB2312" w:hAnsi="楷体_GB2312" w:eastAsia="楷体_GB2312" w:cs="楷体_GB2312"/>
          <w:color w:val="000000"/>
          <w:spacing w:val="-6"/>
          <w:kern w:val="0"/>
          <w:sz w:val="28"/>
          <w:szCs w:val="28"/>
          <w:highlight w:val="none"/>
          <w:lang w:val="en-US" w:eastAsia="zh-CN"/>
        </w:rPr>
      </w:pPr>
      <w:r>
        <w:rPr>
          <w:rFonts w:hint="eastAsia" w:ascii="楷体_GB2312" w:hAnsi="楷体_GB2312" w:eastAsia="楷体_GB2312" w:cs="楷体_GB2312"/>
          <w:color w:val="000000"/>
          <w:spacing w:val="-6"/>
          <w:kern w:val="0"/>
          <w:sz w:val="28"/>
          <w:szCs w:val="28"/>
          <w:highlight w:val="none"/>
          <w:lang w:val="en-US" w:eastAsia="zh-CN"/>
        </w:rPr>
        <w:t>2.</w:t>
      </w:r>
      <w:r>
        <w:rPr>
          <w:rFonts w:hint="eastAsia" w:ascii="楷体_GB2312" w:hAnsi="楷体_GB2312" w:eastAsia="楷体_GB2312" w:cs="楷体_GB2312"/>
          <w:spacing w:val="-6"/>
          <w:kern w:val="0"/>
          <w:sz w:val="28"/>
          <w:szCs w:val="28"/>
          <w:highlight w:val="none"/>
          <w:lang w:eastAsia="zh-CN"/>
        </w:rPr>
        <w:t>动态分值总和为</w:t>
      </w:r>
      <w:r>
        <w:rPr>
          <w:rFonts w:hint="eastAsia" w:ascii="楷体_GB2312" w:hAnsi="楷体_GB2312" w:eastAsia="楷体_GB2312" w:cs="楷体_GB2312"/>
          <w:spacing w:val="-6"/>
          <w:kern w:val="0"/>
          <w:sz w:val="28"/>
          <w:szCs w:val="28"/>
          <w:highlight w:val="none"/>
          <w:lang w:val="en-US" w:eastAsia="zh-CN"/>
        </w:rPr>
        <w:t>40</w:t>
      </w:r>
      <w:r>
        <w:rPr>
          <w:rFonts w:hint="eastAsia" w:ascii="楷体_GB2312" w:hAnsi="楷体_GB2312" w:eastAsia="楷体_GB2312" w:cs="楷体_GB2312"/>
          <w:spacing w:val="-6"/>
          <w:kern w:val="0"/>
          <w:sz w:val="28"/>
          <w:szCs w:val="28"/>
          <w:highlight w:val="none"/>
          <w:lang w:eastAsia="zh-CN"/>
        </w:rPr>
        <w:t>分，每个项目根据其存在风险（不合规程度）打分，选择“是”，不得分；选择“否”，视情况打分，存在风险（不合规程度）越高，得分越高。</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eastAsia" w:ascii="楷体_GB2312" w:hAnsi="楷体_GB2312" w:eastAsia="楷体_GB2312" w:cs="楷体_GB2312"/>
          <w:spacing w:val="-6"/>
          <w:kern w:val="0"/>
          <w:sz w:val="28"/>
          <w:szCs w:val="28"/>
          <w:highlight w:val="none"/>
          <w:lang w:val="en-US" w:eastAsia="zh-CN"/>
        </w:rPr>
      </w:pPr>
      <w:r>
        <w:rPr>
          <w:rFonts w:hint="eastAsia" w:ascii="楷体_GB2312" w:hAnsi="楷体_GB2312" w:eastAsia="楷体_GB2312" w:cs="楷体_GB2312"/>
          <w:spacing w:val="-6"/>
          <w:kern w:val="0"/>
          <w:sz w:val="28"/>
          <w:szCs w:val="28"/>
          <w:highlight w:val="none"/>
          <w:lang w:val="en-US" w:eastAsia="zh-CN"/>
        </w:rPr>
        <w:t>3.检查内容包括但不仅限于所列项目，所列项目检查发现的</w:t>
      </w:r>
      <w:r>
        <w:rPr>
          <w:rFonts w:hint="eastAsia" w:ascii="楷体_GB2312" w:hAnsi="楷体_GB2312" w:eastAsia="楷体_GB2312" w:cs="楷体_GB2312"/>
          <w:spacing w:val="-17"/>
          <w:kern w:val="0"/>
          <w:sz w:val="28"/>
          <w:szCs w:val="28"/>
          <w:highlight w:val="none"/>
          <w:lang w:val="en-US" w:eastAsia="zh-CN"/>
        </w:rPr>
        <w:t>问题，填写</w:t>
      </w:r>
      <w:r>
        <w:rPr>
          <w:rFonts w:hint="eastAsia" w:ascii="楷体_GB2312" w:hAnsi="楷体_GB2312" w:eastAsia="楷体_GB2312" w:cs="楷体_GB2312"/>
          <w:spacing w:val="-6"/>
          <w:kern w:val="0"/>
          <w:sz w:val="28"/>
          <w:szCs w:val="28"/>
          <w:highlight w:val="none"/>
          <w:lang w:val="en-US" w:eastAsia="zh-CN"/>
        </w:rPr>
        <w:t>在“存在问题”栏，发现的其他问题填写在“其他需要记录的问题”栏。</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eastAsia" w:ascii="楷体_GB2312" w:hAnsi="楷体_GB2312" w:eastAsia="楷体_GB2312" w:cs="楷体_GB2312"/>
          <w:spacing w:val="-6"/>
          <w:kern w:val="0"/>
          <w:sz w:val="28"/>
          <w:szCs w:val="28"/>
          <w:highlight w:val="none"/>
          <w:lang w:eastAsia="zh-CN"/>
        </w:rPr>
      </w:pPr>
      <w:r>
        <w:rPr>
          <w:rFonts w:hint="eastAsia" w:ascii="楷体_GB2312" w:hAnsi="楷体_GB2312" w:eastAsia="楷体_GB2312" w:cs="楷体_GB2312"/>
          <w:spacing w:val="-6"/>
          <w:kern w:val="0"/>
          <w:sz w:val="28"/>
          <w:szCs w:val="28"/>
          <w:highlight w:val="none"/>
          <w:lang w:val="en-US" w:eastAsia="zh-CN"/>
        </w:rPr>
        <w:t>4.</w:t>
      </w:r>
      <w:r>
        <w:rPr>
          <w:rFonts w:hint="eastAsia" w:ascii="楷体_GB2312" w:hAnsi="楷体_GB2312" w:eastAsia="楷体_GB2312" w:cs="楷体_GB2312"/>
          <w:spacing w:val="-6"/>
          <w:kern w:val="0"/>
          <w:sz w:val="28"/>
          <w:szCs w:val="28"/>
          <w:highlight w:val="none"/>
          <w:lang w:eastAsia="zh-CN"/>
        </w:rPr>
        <w:t>表中打*号的为重点项，其他为一般项。</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eastAsia" w:ascii="楷体_GB2312" w:hAnsi="楷体_GB2312" w:eastAsia="楷体_GB2312" w:cs="楷体_GB2312"/>
          <w:spacing w:val="-6"/>
          <w:sz w:val="28"/>
          <w:szCs w:val="28"/>
        </w:rPr>
      </w:pPr>
      <w:r>
        <w:rPr>
          <w:rFonts w:hint="eastAsia" w:ascii="楷体_GB2312" w:hAnsi="楷体_GB2312" w:eastAsia="楷体_GB2312" w:cs="楷体_GB2312"/>
          <w:spacing w:val="-6"/>
          <w:kern w:val="0"/>
          <w:sz w:val="28"/>
          <w:szCs w:val="28"/>
          <w:highlight w:val="none"/>
          <w:lang w:val="en-US" w:eastAsia="zh-CN"/>
        </w:rPr>
        <w:t>5.如果检查项目存在合理缺项，该项不得分，不计入不符合项数。</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jc w:val="both"/>
        <w:textAlignment w:val="auto"/>
        <w:rPr>
          <w:rFonts w:hint="eastAsia" w:ascii="楷体_GB2312" w:hAnsi="楷体_GB2312" w:eastAsia="楷体_GB2312" w:cs="楷体_GB2312"/>
          <w:spacing w:val="-6"/>
          <w:sz w:val="28"/>
          <w:szCs w:val="28"/>
        </w:rPr>
        <w:sectPr>
          <w:pgSz w:w="16838" w:h="11906" w:orient="landscape"/>
          <w:pgMar w:top="1134" w:right="1417" w:bottom="1134" w:left="1417" w:header="851" w:footer="283" w:gutter="0"/>
          <w:pgBorders>
            <w:top w:val="none" w:sz="0" w:space="0"/>
            <w:left w:val="none" w:sz="0" w:space="0"/>
            <w:bottom w:val="none" w:sz="0" w:space="0"/>
            <w:right w:val="none" w:sz="0" w:space="0"/>
          </w:pgBorders>
          <w:pgNumType w:fmt="decimal"/>
          <w:cols w:space="720" w:num="1"/>
          <w:docGrid w:type="lines" w:linePitch="312" w:charSpace="0"/>
        </w:sectPr>
      </w:pPr>
    </w:p>
    <w:p>
      <w:pPr>
        <w:pStyle w:val="16"/>
        <w:keepNext w:val="0"/>
        <w:keepLines w:val="0"/>
        <w:pageBreakBefore w:val="0"/>
        <w:widowControl w:val="0"/>
        <w:kinsoku/>
        <w:wordWrap/>
        <w:overflowPunct w:val="0"/>
        <w:topLinePunct w:val="0"/>
        <w:autoSpaceDE/>
        <w:autoSpaceDN/>
        <w:bidi w:val="0"/>
        <w:adjustRightInd w:val="0"/>
        <w:snapToGrid w:val="0"/>
        <w:spacing w:line="520" w:lineRule="exact"/>
        <w:jc w:val="both"/>
        <w:rPr>
          <w:rFonts w:hint="eastAsia" w:ascii="黑体" w:hAnsi="黑体" w:eastAsia="黑体" w:cs="黑体"/>
          <w:spacing w:val="17"/>
          <w:kern w:val="0"/>
          <w:sz w:val="32"/>
          <w:szCs w:val="32"/>
          <w:lang w:val="en-US" w:eastAsia="zh-CN"/>
        </w:rPr>
      </w:pPr>
      <w:r>
        <w:rPr>
          <w:rFonts w:hint="eastAsia" w:ascii="黑体" w:hAnsi="黑体" w:eastAsia="黑体" w:cs="黑体"/>
          <w:spacing w:val="17"/>
          <w:kern w:val="0"/>
          <w:sz w:val="32"/>
          <w:szCs w:val="32"/>
          <w:lang w:val="en-US" w:eastAsia="zh-CN"/>
        </w:rPr>
        <w:t>附件3-5</w:t>
      </w:r>
    </w:p>
    <w:p>
      <w:pPr>
        <w:keepNext w:val="0"/>
        <w:keepLines w:val="0"/>
        <w:pageBreakBefore w:val="0"/>
        <w:widowControl w:val="0"/>
        <w:kinsoku/>
        <w:wordWrap/>
        <w:overflowPunct w:val="0"/>
        <w:topLinePunct w:val="0"/>
        <w:autoSpaceDE/>
        <w:autoSpaceDN/>
        <w:bidi w:val="0"/>
        <w:adjustRightInd w:val="0"/>
        <w:snapToGrid w:val="0"/>
        <w:spacing w:line="520" w:lineRule="exact"/>
        <w:ind w:left="0" w:leftChars="0"/>
        <w:jc w:val="both"/>
        <w:textAlignment w:val="auto"/>
        <w:rPr>
          <w:rFonts w:hint="eastAsia" w:ascii="Times New Roman" w:hAnsi="Times New Roman" w:eastAsia="方正小标宋简体" w:cs="Times New Roman"/>
          <w:snapToGrid w:val="0"/>
          <w:color w:val="000000"/>
          <w:kern w:val="0"/>
          <w:sz w:val="36"/>
          <w:szCs w:val="36"/>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20" w:lineRule="exact"/>
        <w:ind w:left="0" w:leftChars="0"/>
        <w:jc w:val="center"/>
        <w:textAlignment w:val="auto"/>
        <w:rPr>
          <w:rFonts w:hint="default" w:ascii="Times New Roman" w:hAnsi="Times New Roman" w:eastAsia="方正小标宋简体" w:cs="Times New Roman"/>
          <w:snapToGrid w:val="0"/>
          <w:color w:val="000000"/>
          <w:kern w:val="0"/>
          <w:sz w:val="44"/>
          <w:szCs w:val="44"/>
          <w:highlight w:val="none"/>
          <w:lang w:val="en-US" w:eastAsia="zh-CN"/>
        </w:rPr>
      </w:pPr>
      <w:r>
        <w:rPr>
          <w:rFonts w:hint="eastAsia" w:ascii="Times New Roman" w:hAnsi="Times New Roman" w:eastAsia="方正小标宋简体" w:cs="Times New Roman"/>
          <w:snapToGrid w:val="0"/>
          <w:color w:val="000000"/>
          <w:kern w:val="0"/>
          <w:sz w:val="44"/>
          <w:szCs w:val="44"/>
          <w:highlight w:val="none"/>
          <w:lang w:val="en-US" w:eastAsia="zh-CN"/>
        </w:rPr>
        <w:t>食品（食用农产品）</w:t>
      </w:r>
      <w:r>
        <w:rPr>
          <w:rFonts w:hint="default" w:ascii="Times New Roman" w:hAnsi="Times New Roman" w:eastAsia="方正小标宋简体" w:cs="Times New Roman"/>
          <w:snapToGrid w:val="0"/>
          <w:color w:val="000000"/>
          <w:kern w:val="0"/>
          <w:sz w:val="44"/>
          <w:szCs w:val="44"/>
          <w:highlight w:val="none"/>
          <w:lang w:val="en-US" w:eastAsia="zh-CN"/>
        </w:rPr>
        <w:t>集中交易市场开办者</w:t>
      </w:r>
    </w:p>
    <w:p>
      <w:pPr>
        <w:keepNext w:val="0"/>
        <w:keepLines w:val="0"/>
        <w:pageBreakBefore w:val="0"/>
        <w:widowControl w:val="0"/>
        <w:kinsoku/>
        <w:wordWrap/>
        <w:overflowPunct w:val="0"/>
        <w:topLinePunct w:val="0"/>
        <w:autoSpaceDE/>
        <w:autoSpaceDN/>
        <w:bidi w:val="0"/>
        <w:adjustRightInd w:val="0"/>
        <w:snapToGrid w:val="0"/>
        <w:spacing w:line="520" w:lineRule="exact"/>
        <w:ind w:left="0" w:leftChars="0"/>
        <w:jc w:val="center"/>
        <w:textAlignment w:val="auto"/>
        <w:rPr>
          <w:rFonts w:hint="default" w:ascii="Times New Roman" w:hAnsi="Times New Roman" w:eastAsia="方正小标宋简体" w:cs="Times New Roman"/>
          <w:snapToGrid w:val="0"/>
          <w:color w:val="000000"/>
          <w:kern w:val="0"/>
          <w:sz w:val="44"/>
          <w:szCs w:val="44"/>
          <w:highlight w:val="none"/>
          <w:lang w:val="en-US" w:eastAsia="zh-CN"/>
        </w:rPr>
      </w:pPr>
      <w:r>
        <w:rPr>
          <w:rFonts w:hint="default" w:ascii="Times New Roman" w:hAnsi="Times New Roman" w:eastAsia="方正小标宋简体" w:cs="Times New Roman"/>
          <w:snapToGrid w:val="0"/>
          <w:color w:val="000000"/>
          <w:kern w:val="0"/>
          <w:sz w:val="44"/>
          <w:szCs w:val="44"/>
          <w:highlight w:val="none"/>
          <w:lang w:val="en-US" w:eastAsia="zh-CN"/>
        </w:rPr>
        <w:t>静态风险因素量化分值表</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jc w:val="both"/>
        <w:textAlignment w:val="auto"/>
        <w:rPr>
          <w:rFonts w:hint="default" w:ascii="Times New Roman" w:hAnsi="Times New Roman" w:eastAsia="方正小标宋简体" w:cs="Times New Roman"/>
          <w:snapToGrid w:val="0"/>
          <w:color w:val="000000"/>
          <w:kern w:val="0"/>
          <w:sz w:val="36"/>
          <w:szCs w:val="36"/>
          <w:highlight w:val="none"/>
          <w:lang w:val="en-US" w:eastAsia="zh-CN"/>
        </w:rPr>
      </w:pPr>
    </w:p>
    <w:tbl>
      <w:tblPr>
        <w:tblStyle w:val="9"/>
        <w:tblW w:w="9071" w:type="dxa"/>
        <w:jc w:val="center"/>
        <w:tblInd w:w="0" w:type="dxa"/>
        <w:tblLayout w:type="fixed"/>
        <w:tblCellMar>
          <w:top w:w="0" w:type="dxa"/>
          <w:left w:w="108" w:type="dxa"/>
          <w:bottom w:w="0" w:type="dxa"/>
          <w:right w:w="108" w:type="dxa"/>
        </w:tblCellMar>
      </w:tblPr>
      <w:tblGrid>
        <w:gridCol w:w="898"/>
        <w:gridCol w:w="1572"/>
        <w:gridCol w:w="1171"/>
        <w:gridCol w:w="1459"/>
        <w:gridCol w:w="865"/>
        <w:gridCol w:w="850"/>
        <w:gridCol w:w="2256"/>
      </w:tblGrid>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黑体" w:hAnsi="黑体" w:eastAsia="黑体" w:cs="黑体"/>
                <w:snapToGrid w:val="0"/>
                <w:color w:val="000000"/>
                <w:kern w:val="0"/>
                <w:sz w:val="28"/>
                <w:szCs w:val="28"/>
                <w:lang w:eastAsia="en-US"/>
              </w:rPr>
            </w:pPr>
            <w:r>
              <w:rPr>
                <w:rFonts w:hint="eastAsia" w:ascii="黑体" w:hAnsi="黑体" w:eastAsia="黑体" w:cs="黑体"/>
                <w:snapToGrid w:val="0"/>
                <w:color w:val="000000"/>
                <w:kern w:val="0"/>
                <w:sz w:val="28"/>
                <w:szCs w:val="28"/>
                <w:lang w:val="en-US" w:eastAsia="zh-CN"/>
              </w:rPr>
              <w:t>序号</w:t>
            </w:r>
          </w:p>
        </w:tc>
        <w:tc>
          <w:tcPr>
            <w:tcW w:w="157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黑体" w:hAnsi="黑体" w:eastAsia="黑体" w:cs="黑体"/>
                <w:snapToGrid w:val="0"/>
                <w:color w:val="000000"/>
                <w:kern w:val="0"/>
                <w:sz w:val="28"/>
                <w:szCs w:val="28"/>
                <w:lang w:eastAsia="en-US"/>
              </w:rPr>
            </w:pPr>
            <w:r>
              <w:rPr>
                <w:rFonts w:hint="eastAsia" w:ascii="黑体" w:hAnsi="黑体" w:eastAsia="黑体" w:cs="黑体"/>
                <w:snapToGrid w:val="0"/>
                <w:color w:val="000000"/>
                <w:kern w:val="0"/>
                <w:sz w:val="28"/>
                <w:szCs w:val="28"/>
                <w:lang w:val="en-US" w:eastAsia="zh-CN"/>
              </w:rPr>
              <w:t>项目</w:t>
            </w:r>
          </w:p>
        </w:tc>
        <w:tc>
          <w:tcPr>
            <w:tcW w:w="263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黑体" w:hAnsi="黑体" w:eastAsia="黑体" w:cs="黑体"/>
                <w:snapToGrid w:val="0"/>
                <w:color w:val="000000"/>
                <w:kern w:val="0"/>
                <w:sz w:val="28"/>
                <w:szCs w:val="28"/>
                <w:lang w:eastAsia="en-US"/>
              </w:rPr>
            </w:pPr>
            <w:r>
              <w:rPr>
                <w:rFonts w:hint="eastAsia" w:ascii="黑体" w:hAnsi="黑体" w:eastAsia="黑体" w:cs="黑体"/>
                <w:snapToGrid w:val="0"/>
                <w:color w:val="000000"/>
                <w:kern w:val="0"/>
                <w:sz w:val="28"/>
                <w:szCs w:val="28"/>
                <w:lang w:val="en-US" w:eastAsia="zh-CN"/>
              </w:rPr>
              <w:t>类别</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黑体" w:hAnsi="黑体" w:eastAsia="黑体" w:cs="黑体"/>
                <w:snapToGrid w:val="0"/>
                <w:color w:val="000000"/>
                <w:kern w:val="0"/>
                <w:sz w:val="28"/>
                <w:szCs w:val="28"/>
                <w:lang w:eastAsia="en-US"/>
              </w:rPr>
            </w:pPr>
            <w:r>
              <w:rPr>
                <w:rFonts w:hint="eastAsia" w:ascii="黑体" w:hAnsi="黑体" w:eastAsia="黑体" w:cs="黑体"/>
                <w:snapToGrid w:val="0"/>
                <w:color w:val="000000"/>
                <w:kern w:val="0"/>
                <w:sz w:val="28"/>
                <w:szCs w:val="28"/>
                <w:lang w:val="en-US" w:eastAsia="zh-CN"/>
              </w:rPr>
              <w:t>参考分值</w:t>
            </w:r>
          </w:p>
        </w:tc>
        <w:tc>
          <w:tcPr>
            <w:tcW w:w="850"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黑体" w:hAnsi="黑体" w:eastAsia="黑体" w:cs="黑体"/>
                <w:snapToGrid w:val="0"/>
                <w:color w:val="000000"/>
                <w:kern w:val="0"/>
                <w:sz w:val="28"/>
                <w:szCs w:val="28"/>
                <w:lang w:eastAsia="en-US"/>
              </w:rPr>
            </w:pPr>
            <w:r>
              <w:rPr>
                <w:rFonts w:hint="eastAsia" w:ascii="黑体" w:hAnsi="黑体" w:eastAsia="黑体" w:cs="黑体"/>
                <w:snapToGrid w:val="0"/>
                <w:color w:val="000000"/>
                <w:kern w:val="0"/>
                <w:sz w:val="28"/>
                <w:szCs w:val="28"/>
                <w:lang w:val="en-US" w:eastAsia="zh-CN"/>
              </w:rPr>
              <w:t>得分</w:t>
            </w:r>
          </w:p>
        </w:tc>
        <w:tc>
          <w:tcPr>
            <w:tcW w:w="2256"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黑体" w:hAnsi="黑体" w:eastAsia="黑体" w:cs="黑体"/>
                <w:snapToGrid w:val="0"/>
                <w:color w:val="000000"/>
                <w:kern w:val="0"/>
                <w:sz w:val="28"/>
                <w:szCs w:val="28"/>
                <w:lang w:eastAsia="en-US"/>
              </w:rPr>
            </w:pPr>
            <w:r>
              <w:rPr>
                <w:rFonts w:hint="eastAsia" w:ascii="黑体" w:hAnsi="黑体" w:eastAsia="黑体" w:cs="黑体"/>
                <w:snapToGrid w:val="0"/>
                <w:color w:val="000000"/>
                <w:kern w:val="0"/>
                <w:sz w:val="28"/>
                <w:szCs w:val="28"/>
                <w:lang w:val="en-US" w:eastAsia="zh-CN"/>
              </w:rPr>
              <w:t>备注</w:t>
            </w: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auto"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1</w:t>
            </w:r>
          </w:p>
        </w:tc>
        <w:tc>
          <w:tcPr>
            <w:tcW w:w="1572" w:type="dxa"/>
            <w:vMerge w:val="restart"/>
            <w:tcBorders>
              <w:top w:val="single" w:color="auto" w:sz="4" w:space="0"/>
              <w:left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市场类型</w:t>
            </w:r>
          </w:p>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（10分）</w:t>
            </w:r>
          </w:p>
        </w:tc>
        <w:tc>
          <w:tcPr>
            <w:tcW w:w="263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批发市场</w:t>
            </w:r>
          </w:p>
        </w:tc>
        <w:tc>
          <w:tcPr>
            <w:tcW w:w="865"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10</w:t>
            </w:r>
          </w:p>
        </w:tc>
        <w:tc>
          <w:tcPr>
            <w:tcW w:w="850"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vMerge w:val="restart"/>
            <w:tcBorders>
              <w:top w:val="single" w:color="auto" w:sz="4" w:space="0"/>
              <w:left w:val="single" w:color="000000" w:sz="4" w:space="0"/>
              <w:right w:val="single" w:color="auto"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zh-CN"/>
              </w:rPr>
            </w:pPr>
            <w:r>
              <w:rPr>
                <w:rFonts w:hint="eastAsia" w:ascii="宋体" w:hAnsi="宋体" w:eastAsia="宋体" w:cs="宋体"/>
                <w:snapToGrid w:val="0"/>
                <w:color w:val="000000"/>
                <w:kern w:val="0"/>
                <w:sz w:val="28"/>
                <w:szCs w:val="28"/>
                <w:lang w:eastAsia="zh-CN"/>
              </w:rPr>
              <w:t>选择其一</w:t>
            </w: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2</w:t>
            </w:r>
          </w:p>
        </w:tc>
        <w:tc>
          <w:tcPr>
            <w:tcW w:w="15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63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零售市场</w:t>
            </w:r>
          </w:p>
        </w:tc>
        <w:tc>
          <w:tcPr>
            <w:tcW w:w="865"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5</w:t>
            </w:r>
          </w:p>
        </w:tc>
        <w:tc>
          <w:tcPr>
            <w:tcW w:w="850"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vMerge w:val="continue"/>
            <w:tcBorders>
              <w:left w:val="single" w:color="000000" w:sz="4" w:space="0"/>
              <w:bottom w:val="single" w:color="auto" w:sz="4" w:space="0"/>
              <w:right w:val="single" w:color="auto"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3</w:t>
            </w:r>
          </w:p>
        </w:tc>
        <w:tc>
          <w:tcPr>
            <w:tcW w:w="1572"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入场</w:t>
            </w:r>
          </w:p>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销售者</w:t>
            </w:r>
          </w:p>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数量</w:t>
            </w:r>
          </w:p>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（5分）</w:t>
            </w:r>
          </w:p>
        </w:tc>
        <w:tc>
          <w:tcPr>
            <w:tcW w:w="263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50户以下</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2</w:t>
            </w:r>
          </w:p>
        </w:tc>
        <w:tc>
          <w:tcPr>
            <w:tcW w:w="850" w:type="dxa"/>
            <w:vMerge w:val="restart"/>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vMerge w:val="restart"/>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eastAsia="zh-CN"/>
              </w:rPr>
              <w:t>选择其一</w:t>
            </w: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4</w:t>
            </w:r>
          </w:p>
        </w:tc>
        <w:tc>
          <w:tcPr>
            <w:tcW w:w="15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63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51-100户</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3</w:t>
            </w:r>
          </w:p>
        </w:tc>
        <w:tc>
          <w:tcPr>
            <w:tcW w:w="850" w:type="dxa"/>
            <w:vMerge w:val="continue"/>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vMerge w:val="continue"/>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5</w:t>
            </w:r>
          </w:p>
        </w:tc>
        <w:tc>
          <w:tcPr>
            <w:tcW w:w="15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63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101户以上</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5</w:t>
            </w:r>
          </w:p>
        </w:tc>
        <w:tc>
          <w:tcPr>
            <w:tcW w:w="850" w:type="dxa"/>
            <w:vMerge w:val="continue"/>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vMerge w:val="continue"/>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r>
              <w:rPr>
                <w:rFonts w:hint="eastAsia" w:ascii="宋体" w:hAnsi="宋体" w:eastAsia="宋体" w:cs="宋体"/>
                <w:snapToGrid w:val="0"/>
                <w:color w:val="000000"/>
                <w:kern w:val="0"/>
                <w:sz w:val="28"/>
                <w:szCs w:val="28"/>
                <w:highlight w:val="none"/>
                <w:lang w:val="en-US" w:eastAsia="zh-CN"/>
              </w:rPr>
              <w:t>6</w:t>
            </w:r>
          </w:p>
        </w:tc>
        <w:tc>
          <w:tcPr>
            <w:tcW w:w="1572"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val="en-US" w:eastAsia="zh-CN"/>
              </w:rPr>
            </w:pPr>
            <w:r>
              <w:rPr>
                <w:rFonts w:hint="eastAsia" w:ascii="宋体" w:hAnsi="宋体" w:eastAsia="宋体" w:cs="宋体"/>
                <w:snapToGrid w:val="0"/>
                <w:color w:val="000000"/>
                <w:kern w:val="0"/>
                <w:sz w:val="28"/>
                <w:szCs w:val="28"/>
                <w:highlight w:val="none"/>
                <w:lang w:val="en-US" w:eastAsia="zh-CN"/>
              </w:rPr>
              <w:t>在售食品类别</w:t>
            </w:r>
          </w:p>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r>
              <w:rPr>
                <w:rFonts w:hint="eastAsia" w:ascii="宋体" w:hAnsi="宋体" w:eastAsia="宋体" w:cs="宋体"/>
                <w:snapToGrid w:val="0"/>
                <w:color w:val="000000"/>
                <w:kern w:val="0"/>
                <w:sz w:val="28"/>
                <w:szCs w:val="28"/>
                <w:highlight w:val="none"/>
                <w:lang w:val="en-US" w:eastAsia="zh-CN"/>
              </w:rPr>
              <w:t>（15分）</w:t>
            </w:r>
          </w:p>
        </w:tc>
        <w:tc>
          <w:tcPr>
            <w:tcW w:w="263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r>
              <w:rPr>
                <w:rFonts w:hint="eastAsia" w:ascii="宋体" w:hAnsi="宋体" w:eastAsia="宋体" w:cs="宋体"/>
                <w:snapToGrid w:val="0"/>
                <w:color w:val="000000"/>
                <w:kern w:val="0"/>
                <w:sz w:val="28"/>
                <w:szCs w:val="28"/>
                <w:highlight w:val="none"/>
                <w:lang w:val="en-US" w:eastAsia="zh-CN"/>
              </w:rPr>
              <w:t>预包装食品</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val="en-US" w:eastAsia="zh-CN"/>
              </w:rPr>
            </w:pPr>
            <w:r>
              <w:rPr>
                <w:rFonts w:hint="eastAsia" w:ascii="宋体" w:hAnsi="宋体" w:eastAsia="宋体" w:cs="宋体"/>
                <w:snapToGrid w:val="0"/>
                <w:color w:val="000000"/>
                <w:kern w:val="0"/>
                <w:sz w:val="28"/>
                <w:szCs w:val="28"/>
                <w:highlight w:val="none"/>
                <w:lang w:val="en-US" w:eastAsia="zh-CN"/>
              </w:rPr>
              <w:t>5</w:t>
            </w:r>
          </w:p>
        </w:tc>
        <w:tc>
          <w:tcPr>
            <w:tcW w:w="850" w:type="dxa"/>
            <w:vMerge w:val="restart"/>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p>
        </w:tc>
        <w:tc>
          <w:tcPr>
            <w:tcW w:w="2256" w:type="dxa"/>
            <w:vMerge w:val="restart"/>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r>
              <w:rPr>
                <w:rFonts w:hint="eastAsia" w:ascii="宋体" w:hAnsi="宋体" w:eastAsia="宋体" w:cs="宋体"/>
                <w:snapToGrid w:val="0"/>
                <w:color w:val="000000"/>
                <w:kern w:val="0"/>
                <w:sz w:val="28"/>
                <w:szCs w:val="28"/>
                <w:highlight w:val="none"/>
                <w:lang w:val="en-US" w:eastAsia="zh-CN"/>
              </w:rPr>
              <w:t>按照经营食品（食用农产品）类别就高打分</w:t>
            </w: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r>
              <w:rPr>
                <w:rFonts w:hint="eastAsia" w:ascii="宋体" w:hAnsi="宋体" w:eastAsia="宋体" w:cs="宋体"/>
                <w:snapToGrid w:val="0"/>
                <w:color w:val="000000"/>
                <w:kern w:val="0"/>
                <w:sz w:val="28"/>
                <w:szCs w:val="28"/>
                <w:highlight w:val="none"/>
                <w:lang w:val="en-US" w:eastAsia="zh-CN"/>
              </w:rPr>
              <w:t>7</w:t>
            </w:r>
          </w:p>
        </w:tc>
        <w:tc>
          <w:tcPr>
            <w:tcW w:w="15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p>
        </w:tc>
        <w:tc>
          <w:tcPr>
            <w:tcW w:w="263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r>
              <w:rPr>
                <w:rFonts w:hint="eastAsia" w:ascii="宋体" w:hAnsi="宋体" w:eastAsia="宋体" w:cs="宋体"/>
                <w:snapToGrid w:val="0"/>
                <w:color w:val="000000"/>
                <w:kern w:val="0"/>
                <w:sz w:val="28"/>
                <w:szCs w:val="28"/>
                <w:highlight w:val="none"/>
                <w:lang w:val="en-US" w:eastAsia="zh-CN"/>
              </w:rPr>
              <w:t>散装食品</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r>
              <w:rPr>
                <w:rFonts w:hint="eastAsia" w:ascii="宋体" w:hAnsi="宋体" w:eastAsia="宋体" w:cs="宋体"/>
                <w:snapToGrid w:val="0"/>
                <w:color w:val="000000"/>
                <w:kern w:val="0"/>
                <w:sz w:val="28"/>
                <w:szCs w:val="28"/>
                <w:highlight w:val="none"/>
                <w:lang w:val="en-US" w:eastAsia="zh-CN"/>
              </w:rPr>
              <w:t>15</w:t>
            </w:r>
          </w:p>
        </w:tc>
        <w:tc>
          <w:tcPr>
            <w:tcW w:w="850" w:type="dxa"/>
            <w:vMerge w:val="continue"/>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p>
        </w:tc>
        <w:tc>
          <w:tcPr>
            <w:tcW w:w="2256" w:type="dxa"/>
            <w:vMerge w:val="continue"/>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highlight w:val="none"/>
                <w:lang w:eastAsia="en-US"/>
              </w:rPr>
            </w:pP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8</w:t>
            </w:r>
          </w:p>
        </w:tc>
        <w:tc>
          <w:tcPr>
            <w:tcW w:w="1572"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在售食用</w:t>
            </w:r>
          </w:p>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农产品</w:t>
            </w:r>
          </w:p>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类别</w:t>
            </w:r>
          </w:p>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（10分）</w:t>
            </w:r>
          </w:p>
        </w:tc>
        <w:tc>
          <w:tcPr>
            <w:tcW w:w="1171"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畜禽及其产品</w:t>
            </w:r>
          </w:p>
        </w:tc>
        <w:tc>
          <w:tcPr>
            <w:tcW w:w="145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畜禽</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4</w:t>
            </w:r>
          </w:p>
        </w:tc>
        <w:tc>
          <w:tcPr>
            <w:tcW w:w="850" w:type="dxa"/>
            <w:vMerge w:val="restart"/>
            <w:tcBorders>
              <w:top w:val="single" w:color="auto"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vMerge w:val="restart"/>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按照经营食品（食用农产品）类别就高打分</w:t>
            </w: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9</w:t>
            </w:r>
          </w:p>
        </w:tc>
        <w:tc>
          <w:tcPr>
            <w:tcW w:w="15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1171"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145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畜禽产品</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2</w:t>
            </w:r>
          </w:p>
        </w:tc>
        <w:tc>
          <w:tcPr>
            <w:tcW w:w="850"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vMerge w:val="continue"/>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en-US"/>
              </w:rPr>
            </w:pPr>
            <w:r>
              <w:rPr>
                <w:rFonts w:hint="eastAsia" w:ascii="宋体" w:hAnsi="宋体" w:eastAsia="宋体" w:cs="宋体"/>
                <w:snapToGrid w:val="0"/>
                <w:color w:val="000000"/>
                <w:kern w:val="0"/>
                <w:sz w:val="28"/>
                <w:szCs w:val="28"/>
                <w:lang w:val="en-US" w:eastAsia="zh-CN"/>
              </w:rPr>
              <w:t>10</w:t>
            </w:r>
          </w:p>
        </w:tc>
        <w:tc>
          <w:tcPr>
            <w:tcW w:w="15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1171"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水产品</w:t>
            </w:r>
          </w:p>
        </w:tc>
        <w:tc>
          <w:tcPr>
            <w:tcW w:w="145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活体类</w:t>
            </w:r>
          </w:p>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水产品</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4</w:t>
            </w:r>
          </w:p>
        </w:tc>
        <w:tc>
          <w:tcPr>
            <w:tcW w:w="850"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vMerge w:val="restart"/>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按照经营食品（食用农产品）类别就高打分</w:t>
            </w: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en-US"/>
              </w:rPr>
            </w:pPr>
            <w:r>
              <w:rPr>
                <w:rFonts w:hint="eastAsia" w:ascii="宋体" w:hAnsi="宋体" w:eastAsia="宋体" w:cs="宋体"/>
                <w:snapToGrid w:val="0"/>
                <w:color w:val="000000"/>
                <w:kern w:val="0"/>
                <w:sz w:val="28"/>
                <w:szCs w:val="28"/>
                <w:lang w:val="en-US" w:eastAsia="zh-CN"/>
              </w:rPr>
              <w:t>11</w:t>
            </w:r>
          </w:p>
        </w:tc>
        <w:tc>
          <w:tcPr>
            <w:tcW w:w="15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1171"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145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非活体类水产品</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2</w:t>
            </w:r>
          </w:p>
        </w:tc>
        <w:tc>
          <w:tcPr>
            <w:tcW w:w="850"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vMerge w:val="continue"/>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en-US"/>
              </w:rPr>
            </w:pPr>
            <w:r>
              <w:rPr>
                <w:rFonts w:hint="eastAsia" w:ascii="宋体" w:hAnsi="宋体" w:eastAsia="宋体" w:cs="宋体"/>
                <w:snapToGrid w:val="0"/>
                <w:color w:val="000000"/>
                <w:kern w:val="0"/>
                <w:sz w:val="28"/>
                <w:szCs w:val="28"/>
                <w:lang w:val="en-US" w:eastAsia="zh-CN"/>
              </w:rPr>
              <w:t>12</w:t>
            </w:r>
          </w:p>
        </w:tc>
        <w:tc>
          <w:tcPr>
            <w:tcW w:w="15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63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果蔬、其他</w:t>
            </w:r>
          </w:p>
        </w:tc>
        <w:tc>
          <w:tcPr>
            <w:tcW w:w="86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r>
              <w:rPr>
                <w:rFonts w:hint="eastAsia" w:ascii="宋体" w:hAnsi="宋体" w:eastAsia="宋体" w:cs="宋体"/>
                <w:snapToGrid w:val="0"/>
                <w:color w:val="000000"/>
                <w:kern w:val="0"/>
                <w:sz w:val="28"/>
                <w:szCs w:val="28"/>
                <w:lang w:val="en-US" w:eastAsia="zh-CN"/>
              </w:rPr>
              <w:t>2</w:t>
            </w:r>
          </w:p>
        </w:tc>
        <w:tc>
          <w:tcPr>
            <w:tcW w:w="85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c>
          <w:tcPr>
            <w:tcW w:w="2256"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r>
      <w:tr>
        <w:tblPrEx>
          <w:tblLayout w:type="fixed"/>
          <w:tblCellMar>
            <w:top w:w="0" w:type="dxa"/>
            <w:left w:w="108" w:type="dxa"/>
            <w:bottom w:w="0" w:type="dxa"/>
            <w:right w:w="108" w:type="dxa"/>
          </w:tblCellMar>
        </w:tblPrEx>
        <w:trPr>
          <w:trHeight w:val="510" w:hRule="atLeast"/>
          <w:jc w:val="center"/>
        </w:trPr>
        <w:tc>
          <w:tcPr>
            <w:tcW w:w="89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13</w:t>
            </w:r>
          </w:p>
        </w:tc>
        <w:tc>
          <w:tcPr>
            <w:tcW w:w="5067" w:type="dxa"/>
            <w:gridSpan w:val="4"/>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val="en-US" w:eastAsia="zh-CN"/>
              </w:rPr>
            </w:pPr>
            <w:r>
              <w:rPr>
                <w:rFonts w:hint="eastAsia" w:ascii="宋体" w:hAnsi="宋体" w:eastAsia="宋体" w:cs="宋体"/>
                <w:snapToGrid w:val="0"/>
                <w:color w:val="000000"/>
                <w:kern w:val="0"/>
                <w:sz w:val="28"/>
                <w:szCs w:val="28"/>
                <w:lang w:val="en-US" w:eastAsia="zh-CN"/>
              </w:rPr>
              <w:t>总计</w:t>
            </w:r>
          </w:p>
        </w:tc>
        <w:tc>
          <w:tcPr>
            <w:tcW w:w="3106"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jc w:val="center"/>
              <w:textAlignment w:val="baseline"/>
              <w:rPr>
                <w:rFonts w:hint="eastAsia" w:ascii="宋体" w:hAnsi="宋体" w:eastAsia="宋体" w:cs="宋体"/>
                <w:snapToGrid w:val="0"/>
                <w:color w:val="000000"/>
                <w:kern w:val="0"/>
                <w:sz w:val="28"/>
                <w:szCs w:val="28"/>
                <w:lang w:eastAsia="en-US"/>
              </w:rPr>
            </w:pPr>
          </w:p>
        </w:tc>
      </w:tr>
    </w:tbl>
    <w:p>
      <w:pPr>
        <w:keepNext w:val="0"/>
        <w:keepLines w:val="0"/>
        <w:pageBreakBefore w:val="0"/>
        <w:widowControl w:val="0"/>
        <w:kinsoku/>
        <w:wordWrap/>
        <w:overflowPunct w:val="0"/>
        <w:topLinePunct w:val="0"/>
        <w:autoSpaceDE/>
        <w:autoSpaceDN/>
        <w:bidi w:val="0"/>
        <w:adjustRightInd w:val="0"/>
        <w:snapToGrid w:val="0"/>
        <w:spacing w:line="400" w:lineRule="exact"/>
        <w:jc w:val="both"/>
        <w:textAlignment w:val="baseline"/>
        <w:rPr>
          <w:rFonts w:hint="eastAsia" w:ascii="楷体_GB2312" w:hAnsi="楷体_GB2312" w:eastAsia="楷体_GB2312" w:cs="楷体_GB2312"/>
          <w:snapToGrid w:val="0"/>
          <w:color w:val="000000"/>
          <w:kern w:val="0"/>
          <w:sz w:val="28"/>
          <w:szCs w:val="28"/>
          <w:lang w:val="en-US" w:eastAsia="zh-CN"/>
        </w:rPr>
      </w:pPr>
      <w:r>
        <w:rPr>
          <w:rFonts w:hint="eastAsia" w:ascii="楷体_GB2312" w:hAnsi="楷体_GB2312" w:eastAsia="楷体_GB2312" w:cs="楷体_GB2312"/>
          <w:snapToGrid w:val="0"/>
          <w:color w:val="000000"/>
          <w:kern w:val="0"/>
          <w:sz w:val="28"/>
          <w:szCs w:val="28"/>
          <w:lang w:val="en-US" w:eastAsia="zh-CN"/>
        </w:rPr>
        <w:t>备注：</w:t>
      </w:r>
    </w:p>
    <w:p>
      <w:pPr>
        <w:keepNext w:val="0"/>
        <w:keepLines w:val="0"/>
        <w:pageBreakBefore w:val="0"/>
        <w:widowControl w:val="0"/>
        <w:kinsoku/>
        <w:wordWrap/>
        <w:overflowPunct w:val="0"/>
        <w:topLinePunct w:val="0"/>
        <w:autoSpaceDE/>
        <w:autoSpaceDN/>
        <w:bidi w:val="0"/>
        <w:adjustRightInd w:val="0"/>
        <w:snapToGrid w:val="0"/>
        <w:spacing w:line="400" w:lineRule="exact"/>
        <w:ind w:firstLine="560" w:firstLineChars="200"/>
        <w:jc w:val="both"/>
        <w:textAlignment w:val="baseline"/>
        <w:rPr>
          <w:rFonts w:hint="eastAsia" w:ascii="楷体_GB2312" w:hAnsi="楷体_GB2312" w:eastAsia="楷体_GB2312" w:cs="楷体_GB2312"/>
          <w:snapToGrid w:val="0"/>
          <w:color w:val="000000"/>
          <w:kern w:val="0"/>
          <w:sz w:val="28"/>
          <w:szCs w:val="28"/>
          <w:lang w:val="en-US" w:eastAsia="zh-CN"/>
        </w:rPr>
      </w:pPr>
      <w:r>
        <w:rPr>
          <w:rFonts w:hint="eastAsia" w:ascii="楷体_GB2312" w:hAnsi="楷体_GB2312" w:eastAsia="楷体_GB2312" w:cs="楷体_GB2312"/>
          <w:snapToGrid w:val="0"/>
          <w:color w:val="000000"/>
          <w:kern w:val="0"/>
          <w:sz w:val="28"/>
          <w:szCs w:val="28"/>
          <w:lang w:val="en-US" w:eastAsia="zh-CN"/>
        </w:rPr>
        <w:t>1.本表单适用于只销售食品或食用农产品，以及同时销售食品和食用农产品的取得营业执照的集中交易市场。</w:t>
      </w:r>
    </w:p>
    <w:p>
      <w:pPr>
        <w:keepNext w:val="0"/>
        <w:keepLines w:val="0"/>
        <w:pageBreakBefore w:val="0"/>
        <w:widowControl w:val="0"/>
        <w:kinsoku/>
        <w:wordWrap/>
        <w:overflowPunct w:val="0"/>
        <w:topLinePunct w:val="0"/>
        <w:autoSpaceDE/>
        <w:autoSpaceDN/>
        <w:bidi w:val="0"/>
        <w:adjustRightInd w:val="0"/>
        <w:snapToGrid w:val="0"/>
        <w:spacing w:line="400" w:lineRule="exact"/>
        <w:ind w:firstLine="560" w:firstLineChars="200"/>
        <w:jc w:val="both"/>
        <w:textAlignment w:val="baseline"/>
        <w:rPr>
          <w:rFonts w:hint="eastAsia" w:ascii="楷体_GB2312" w:hAnsi="楷体_GB2312" w:eastAsia="楷体_GB2312" w:cs="楷体_GB2312"/>
          <w:snapToGrid w:val="0"/>
          <w:color w:val="000000"/>
          <w:kern w:val="0"/>
          <w:sz w:val="28"/>
          <w:szCs w:val="28"/>
          <w:lang w:val="en-US" w:eastAsia="zh-CN"/>
        </w:rPr>
      </w:pPr>
      <w:r>
        <w:rPr>
          <w:rFonts w:hint="eastAsia" w:ascii="楷体_GB2312" w:hAnsi="楷体_GB2312" w:eastAsia="楷体_GB2312" w:cs="楷体_GB2312"/>
          <w:snapToGrid w:val="0"/>
          <w:color w:val="000000"/>
          <w:kern w:val="0"/>
          <w:sz w:val="28"/>
          <w:szCs w:val="28"/>
          <w:lang w:val="en-US" w:eastAsia="zh-CN"/>
        </w:rPr>
        <w:t>2.未同时销售食品和食用农产品，以及无销售的食品和食用农产品类别，可以合理缺项。</w:t>
      </w:r>
    </w:p>
    <w:p>
      <w:pPr>
        <w:pStyle w:val="2"/>
        <w:rPr>
          <w:rFonts w:hint="eastAsia"/>
          <w:lang w:val="en-US" w:eastAsia="zh-CN"/>
        </w:rPr>
        <w:sectPr>
          <w:pgSz w:w="11906" w:h="16838"/>
          <w:pgMar w:top="2098" w:right="1474" w:bottom="1984" w:left="1587"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黑体" w:hAnsi="黑体" w:eastAsia="黑体" w:cs="黑体"/>
          <w:spacing w:val="-6"/>
          <w:sz w:val="32"/>
          <w:szCs w:val="32"/>
          <w:highlight w:val="none"/>
          <w:lang w:val="en-US" w:eastAsia="zh-CN"/>
        </w:rPr>
      </w:pPr>
      <w:r>
        <w:rPr>
          <w:rFonts w:hint="eastAsia" w:ascii="黑体" w:hAnsi="黑体" w:eastAsia="黑体" w:cs="黑体"/>
          <w:spacing w:val="-6"/>
          <w:sz w:val="32"/>
          <w:szCs w:val="32"/>
          <w:highlight w:val="none"/>
          <w:lang w:eastAsia="zh-CN"/>
        </w:rPr>
        <w:t>附件</w:t>
      </w:r>
      <w:r>
        <w:rPr>
          <w:rFonts w:hint="eastAsia" w:ascii="黑体" w:hAnsi="黑体" w:eastAsia="黑体" w:cs="黑体"/>
          <w:spacing w:val="-6"/>
          <w:sz w:val="32"/>
          <w:szCs w:val="32"/>
          <w:highlight w:val="none"/>
          <w:lang w:val="en-US" w:eastAsia="zh-CN"/>
        </w:rPr>
        <w:t>3-6</w:t>
      </w: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default" w:ascii="Times New Roman" w:hAnsi="Times New Roman" w:eastAsia="方正小标宋简体" w:cs="Times New Roman"/>
          <w:spacing w:val="-6"/>
          <w:sz w:val="44"/>
          <w:szCs w:val="44"/>
          <w:highlight w:val="none"/>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default" w:ascii="Times New Roman" w:hAnsi="Times New Roman" w:eastAsia="方正小标宋简体" w:cs="Times New Roman"/>
          <w:spacing w:val="-6"/>
          <w:sz w:val="44"/>
          <w:szCs w:val="44"/>
          <w:highlight w:val="none"/>
        </w:rPr>
      </w:pPr>
      <w:r>
        <w:rPr>
          <w:rFonts w:hint="default" w:ascii="Times New Roman" w:hAnsi="Times New Roman" w:eastAsia="方正小标宋简体" w:cs="Times New Roman"/>
          <w:spacing w:val="-6"/>
          <w:sz w:val="44"/>
          <w:szCs w:val="44"/>
          <w:highlight w:val="none"/>
          <w:lang w:eastAsia="zh-CN"/>
        </w:rPr>
        <w:t>食品</w:t>
      </w:r>
      <w:r>
        <w:rPr>
          <w:rFonts w:hint="eastAsia" w:ascii="Times New Roman" w:hAnsi="Times New Roman" w:eastAsia="方正小标宋简体" w:cs="Times New Roman"/>
          <w:spacing w:val="-6"/>
          <w:sz w:val="44"/>
          <w:szCs w:val="44"/>
          <w:highlight w:val="none"/>
          <w:lang w:eastAsia="zh-CN"/>
        </w:rPr>
        <w:t>（食用农产品）</w:t>
      </w:r>
      <w:r>
        <w:rPr>
          <w:rFonts w:hint="default" w:ascii="Times New Roman" w:hAnsi="Times New Roman" w:eastAsia="方正小标宋简体" w:cs="Times New Roman"/>
          <w:spacing w:val="-6"/>
          <w:sz w:val="44"/>
          <w:szCs w:val="44"/>
          <w:highlight w:val="none"/>
        </w:rPr>
        <w:t>集中交易市场开办者动态风险因素量化分值表</w:t>
      </w: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eastAsia" w:ascii="楷体_GB2312" w:hAnsi="楷体_GB2312" w:eastAsia="楷体_GB2312" w:cs="楷体_GB2312"/>
          <w:b/>
          <w:bCs/>
          <w:spacing w:val="-6"/>
          <w:sz w:val="32"/>
          <w:szCs w:val="32"/>
          <w:highlight w:val="none"/>
          <w:lang w:eastAsia="zh-CN"/>
        </w:rPr>
      </w:pPr>
      <w:r>
        <w:rPr>
          <w:rFonts w:hint="eastAsia" w:ascii="楷体_GB2312" w:hAnsi="楷体_GB2312" w:eastAsia="楷体_GB2312" w:cs="楷体_GB2312"/>
          <w:b/>
          <w:bCs/>
          <w:spacing w:val="-6"/>
          <w:sz w:val="32"/>
          <w:szCs w:val="32"/>
          <w:highlight w:val="none"/>
          <w:lang w:eastAsia="zh-CN"/>
        </w:rPr>
        <w:t>（日常监督检查要点表）</w:t>
      </w: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楷体_GB2312" w:hAnsi="楷体_GB2312" w:eastAsia="楷体_GB2312" w:cs="楷体_GB2312"/>
          <w:b/>
          <w:bCs/>
          <w:spacing w:val="-6"/>
          <w:sz w:val="32"/>
          <w:szCs w:val="32"/>
          <w:highlight w:val="none"/>
          <w:lang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黑体" w:hAnsi="黑体" w:eastAsia="黑体" w:cs="黑体"/>
          <w:color w:val="000000"/>
          <w:spacing w:val="-6"/>
          <w:kern w:val="0"/>
          <w:sz w:val="28"/>
          <w:szCs w:val="28"/>
          <w:highlight w:val="none"/>
          <w:lang w:eastAsia="zh-CN"/>
        </w:rPr>
      </w:pPr>
      <w:r>
        <w:rPr>
          <w:rFonts w:hint="eastAsia" w:ascii="黑体" w:hAnsi="黑体" w:eastAsia="黑体" w:cs="黑体"/>
          <w:i w:val="0"/>
          <w:iCs w:val="0"/>
          <w:color w:val="000000"/>
          <w:spacing w:val="-6"/>
          <w:kern w:val="0"/>
          <w:sz w:val="28"/>
          <w:szCs w:val="28"/>
          <w:highlight w:val="none"/>
          <w:u w:val="none"/>
          <w:lang w:val="en-US" w:eastAsia="zh-CN" w:bidi="ar"/>
        </w:rPr>
        <w:t>检查对象名称：</w:t>
      </w:r>
      <w:r>
        <w:rPr>
          <w:rStyle w:val="18"/>
          <w:rFonts w:hint="eastAsia" w:ascii="黑体" w:hAnsi="黑体" w:eastAsia="黑体" w:cs="黑体"/>
          <w:spacing w:val="-6"/>
          <w:sz w:val="28"/>
          <w:szCs w:val="28"/>
          <w:highlight w:val="none"/>
          <w:lang w:val="en-US" w:eastAsia="zh-CN" w:bidi="ar"/>
        </w:rPr>
        <w:t>　　　　    　　　</w:t>
      </w:r>
      <w:r>
        <w:rPr>
          <w:rFonts w:hint="eastAsia" w:ascii="黑体" w:hAnsi="黑体" w:eastAsia="黑体" w:cs="黑体"/>
          <w:i w:val="0"/>
          <w:iCs w:val="0"/>
          <w:color w:val="000000"/>
          <w:spacing w:val="-6"/>
          <w:kern w:val="0"/>
          <w:sz w:val="28"/>
          <w:szCs w:val="28"/>
          <w:highlight w:val="none"/>
          <w:u w:val="none"/>
          <w:lang w:val="en-US" w:eastAsia="zh-CN" w:bidi="ar"/>
        </w:rPr>
        <w:t xml:space="preserve">    社会信用代码/注册号</w:t>
      </w:r>
      <w:r>
        <w:rPr>
          <w:rFonts w:hint="eastAsia" w:ascii="黑体" w:hAnsi="黑体" w:eastAsia="黑体" w:cs="黑体"/>
          <w:bCs/>
          <w:spacing w:val="-6"/>
          <w:sz w:val="28"/>
          <w:szCs w:val="28"/>
        </w:rPr>
        <w:t>：</w:t>
      </w:r>
      <w:r>
        <w:rPr>
          <w:rFonts w:hint="eastAsia" w:ascii="黑体" w:hAnsi="黑体" w:eastAsia="黑体" w:cs="黑体"/>
          <w:bCs/>
          <w:spacing w:val="-6"/>
          <w:sz w:val="28"/>
          <w:szCs w:val="28"/>
          <w:u w:val="single"/>
        </w:rPr>
        <w:t xml:space="preserve">      </w:t>
      </w:r>
      <w:r>
        <w:rPr>
          <w:rFonts w:hint="eastAsia" w:ascii="黑体" w:hAnsi="黑体" w:eastAsia="黑体" w:cs="黑体"/>
          <w:bCs/>
          <w:spacing w:val="-6"/>
          <w:sz w:val="28"/>
          <w:szCs w:val="28"/>
          <w:u w:val="single"/>
          <w:lang w:val="en-US" w:eastAsia="zh-CN"/>
        </w:rPr>
        <w:t xml:space="preserve">       </w:t>
      </w:r>
      <w:r>
        <w:rPr>
          <w:rFonts w:hint="eastAsia" w:ascii="黑体" w:hAnsi="黑体" w:eastAsia="黑体" w:cs="黑体"/>
          <w:bCs/>
          <w:spacing w:val="-6"/>
          <w:sz w:val="28"/>
          <w:szCs w:val="28"/>
          <w:u w:val="single"/>
        </w:rPr>
        <w:t xml:space="preserve">     </w:t>
      </w:r>
      <w:r>
        <w:rPr>
          <w:rFonts w:hint="eastAsia" w:ascii="黑体" w:hAnsi="黑体" w:eastAsia="黑体" w:cs="黑体"/>
          <w:bCs/>
          <w:spacing w:val="-6"/>
          <w:sz w:val="28"/>
          <w:szCs w:val="28"/>
          <w:u w:val="single"/>
          <w:lang w:val="en-US" w:eastAsia="zh-CN"/>
        </w:rPr>
        <w:t xml:space="preserve"> </w:t>
      </w:r>
      <w:r>
        <w:rPr>
          <w:rFonts w:hint="eastAsia" w:ascii="黑体" w:hAnsi="黑体" w:eastAsia="黑体" w:cs="黑体"/>
          <w:bCs/>
          <w:spacing w:val="-6"/>
          <w:sz w:val="28"/>
          <w:szCs w:val="28"/>
        </w:rPr>
        <w:t xml:space="preserve"> </w:t>
      </w:r>
      <w:r>
        <w:rPr>
          <w:rFonts w:hint="eastAsia" w:ascii="黑体" w:hAnsi="黑体" w:eastAsia="黑体" w:cs="黑体"/>
          <w:i w:val="0"/>
          <w:iCs w:val="0"/>
          <w:color w:val="000000"/>
          <w:spacing w:val="-6"/>
          <w:kern w:val="0"/>
          <w:sz w:val="28"/>
          <w:szCs w:val="28"/>
          <w:highlight w:val="none"/>
          <w:u w:val="none"/>
          <w:lang w:val="en-US" w:eastAsia="zh-CN" w:bidi="ar"/>
        </w:rPr>
        <w:t xml:space="preserve">    时间：</w:t>
      </w:r>
      <w:r>
        <w:rPr>
          <w:rStyle w:val="18"/>
          <w:rFonts w:hint="eastAsia" w:ascii="黑体" w:hAnsi="黑体" w:eastAsia="黑体" w:cs="黑体"/>
          <w:spacing w:val="-6"/>
          <w:sz w:val="28"/>
          <w:szCs w:val="28"/>
          <w:highlight w:val="none"/>
          <w:lang w:val="en-US" w:eastAsia="zh-CN" w:bidi="ar"/>
        </w:rPr>
        <w:t xml:space="preserve">     </w:t>
      </w:r>
      <w:r>
        <w:rPr>
          <w:rFonts w:hint="eastAsia" w:ascii="黑体" w:hAnsi="黑体" w:eastAsia="黑体" w:cs="黑体"/>
          <w:i w:val="0"/>
          <w:iCs w:val="0"/>
          <w:color w:val="000000"/>
          <w:spacing w:val="-6"/>
          <w:kern w:val="0"/>
          <w:sz w:val="28"/>
          <w:szCs w:val="28"/>
          <w:highlight w:val="none"/>
          <w:u w:val="none"/>
          <w:lang w:val="en-US" w:eastAsia="zh-CN" w:bidi="ar"/>
        </w:rPr>
        <w:t>年</w:t>
      </w:r>
      <w:r>
        <w:rPr>
          <w:rStyle w:val="18"/>
          <w:rFonts w:hint="eastAsia" w:ascii="黑体" w:hAnsi="黑体" w:eastAsia="黑体" w:cs="黑体"/>
          <w:spacing w:val="-6"/>
          <w:sz w:val="28"/>
          <w:szCs w:val="28"/>
          <w:highlight w:val="none"/>
          <w:lang w:val="en-US" w:eastAsia="zh-CN" w:bidi="ar"/>
        </w:rPr>
        <w:t xml:space="preserve">     </w:t>
      </w:r>
      <w:r>
        <w:rPr>
          <w:rFonts w:hint="eastAsia" w:ascii="黑体" w:hAnsi="黑体" w:eastAsia="黑体" w:cs="黑体"/>
          <w:i w:val="0"/>
          <w:iCs w:val="0"/>
          <w:color w:val="000000"/>
          <w:spacing w:val="-6"/>
          <w:kern w:val="0"/>
          <w:sz w:val="28"/>
          <w:szCs w:val="28"/>
          <w:highlight w:val="none"/>
          <w:u w:val="none"/>
          <w:lang w:val="en-US" w:eastAsia="zh-CN" w:bidi="ar"/>
        </w:rPr>
        <w:t>月</w:t>
      </w:r>
      <w:r>
        <w:rPr>
          <w:rStyle w:val="18"/>
          <w:rFonts w:hint="eastAsia" w:ascii="黑体" w:hAnsi="黑体" w:eastAsia="黑体" w:cs="黑体"/>
          <w:spacing w:val="-6"/>
          <w:sz w:val="28"/>
          <w:szCs w:val="28"/>
          <w:highlight w:val="none"/>
          <w:lang w:val="en-US" w:eastAsia="zh-CN" w:bidi="ar"/>
        </w:rPr>
        <w:t xml:space="preserve">     </w:t>
      </w:r>
      <w:r>
        <w:rPr>
          <w:rFonts w:hint="eastAsia" w:ascii="黑体" w:hAnsi="黑体" w:eastAsia="黑体" w:cs="黑体"/>
          <w:i w:val="0"/>
          <w:iCs w:val="0"/>
          <w:color w:val="000000"/>
          <w:spacing w:val="-6"/>
          <w:kern w:val="0"/>
          <w:sz w:val="28"/>
          <w:szCs w:val="28"/>
          <w:highlight w:val="none"/>
          <w:u w:val="none"/>
          <w:lang w:val="en-US" w:eastAsia="zh-CN" w:bidi="ar"/>
        </w:rPr>
        <w:t>日</w:t>
      </w:r>
    </w:p>
    <w:tbl>
      <w:tblPr>
        <w:tblStyle w:val="9"/>
        <w:tblW w:w="1417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5"/>
        <w:gridCol w:w="1054"/>
        <w:gridCol w:w="7297"/>
        <w:gridCol w:w="1826"/>
        <w:gridCol w:w="800"/>
        <w:gridCol w:w="800"/>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tblHeader/>
          <w:jc w:val="center"/>
        </w:trPr>
        <w:tc>
          <w:tcPr>
            <w:tcW w:w="159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kern w:val="0"/>
                <w:sz w:val="24"/>
                <w:szCs w:val="24"/>
                <w:highlight w:val="none"/>
              </w:rPr>
            </w:pPr>
            <w:r>
              <w:rPr>
                <w:rFonts w:hint="eastAsia" w:ascii="黑体" w:hAnsi="黑体" w:eastAsia="黑体" w:cs="黑体"/>
                <w:b w:val="0"/>
                <w:bCs/>
                <w:snapToGrid w:val="0"/>
                <w:color w:val="000000"/>
                <w:spacing w:val="0"/>
                <w:kern w:val="0"/>
                <w:sz w:val="24"/>
                <w:szCs w:val="24"/>
                <w:highlight w:val="none"/>
              </w:rPr>
              <w:t>检查项目</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kern w:val="0"/>
                <w:sz w:val="24"/>
                <w:szCs w:val="24"/>
                <w:highlight w:val="none"/>
              </w:rPr>
            </w:pPr>
            <w:r>
              <w:rPr>
                <w:rFonts w:hint="eastAsia" w:ascii="黑体" w:hAnsi="黑体" w:eastAsia="黑体" w:cs="黑体"/>
                <w:b w:val="0"/>
                <w:bCs/>
                <w:snapToGrid w:val="0"/>
                <w:color w:val="000000"/>
                <w:spacing w:val="0"/>
                <w:kern w:val="0"/>
                <w:sz w:val="24"/>
                <w:szCs w:val="24"/>
                <w:highlight w:val="none"/>
              </w:rPr>
              <w:t>序号</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kern w:val="0"/>
                <w:sz w:val="24"/>
                <w:szCs w:val="24"/>
                <w:highlight w:val="none"/>
              </w:rPr>
            </w:pPr>
            <w:r>
              <w:rPr>
                <w:rFonts w:hint="eastAsia" w:ascii="黑体" w:hAnsi="黑体" w:eastAsia="黑体" w:cs="黑体"/>
                <w:b w:val="0"/>
                <w:bCs/>
                <w:snapToGrid w:val="0"/>
                <w:color w:val="000000"/>
                <w:spacing w:val="0"/>
                <w:kern w:val="0"/>
                <w:sz w:val="24"/>
                <w:szCs w:val="24"/>
                <w:highlight w:val="none"/>
              </w:rPr>
              <w:t>检查内容</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kern w:val="0"/>
                <w:sz w:val="24"/>
                <w:szCs w:val="24"/>
                <w:highlight w:val="none"/>
              </w:rPr>
            </w:pPr>
            <w:r>
              <w:rPr>
                <w:rFonts w:hint="eastAsia" w:ascii="黑体" w:hAnsi="黑体" w:eastAsia="黑体" w:cs="黑体"/>
                <w:b w:val="0"/>
                <w:bCs/>
                <w:snapToGrid w:val="0"/>
                <w:color w:val="000000"/>
                <w:spacing w:val="0"/>
                <w:kern w:val="0"/>
                <w:sz w:val="24"/>
                <w:szCs w:val="24"/>
                <w:highlight w:val="none"/>
              </w:rPr>
              <w:t>检查结果</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kern w:val="0"/>
                <w:sz w:val="24"/>
                <w:szCs w:val="24"/>
                <w:highlight w:val="none"/>
              </w:rPr>
            </w:pPr>
            <w:r>
              <w:rPr>
                <w:rFonts w:hint="eastAsia" w:ascii="黑体" w:hAnsi="黑体" w:eastAsia="黑体" w:cs="黑体"/>
                <w:b w:val="0"/>
                <w:bCs/>
                <w:snapToGrid w:val="0"/>
                <w:color w:val="000000"/>
                <w:spacing w:val="0"/>
                <w:kern w:val="0"/>
                <w:sz w:val="24"/>
                <w:szCs w:val="24"/>
                <w:highlight w:val="none"/>
              </w:rPr>
              <w:t>分值</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kern w:val="0"/>
                <w:sz w:val="24"/>
                <w:szCs w:val="24"/>
                <w:highlight w:val="none"/>
                <w:lang w:eastAsia="zh-CN"/>
              </w:rPr>
            </w:pPr>
            <w:r>
              <w:rPr>
                <w:rFonts w:hint="eastAsia" w:ascii="黑体" w:hAnsi="黑体" w:eastAsia="黑体" w:cs="黑体"/>
                <w:b w:val="0"/>
                <w:bCs/>
                <w:snapToGrid w:val="0"/>
                <w:color w:val="000000"/>
                <w:spacing w:val="0"/>
                <w:kern w:val="0"/>
                <w:sz w:val="24"/>
                <w:szCs w:val="24"/>
                <w:highlight w:val="none"/>
                <w:lang w:eastAsia="zh-CN"/>
              </w:rPr>
              <w:t>得分</w:t>
            </w: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b w:val="0"/>
                <w:bCs/>
                <w:snapToGrid w:val="0"/>
                <w:color w:val="000000"/>
                <w:spacing w:val="0"/>
                <w:kern w:val="0"/>
                <w:sz w:val="24"/>
                <w:szCs w:val="24"/>
                <w:highlight w:val="none"/>
                <w:lang w:eastAsia="zh-CN"/>
              </w:rPr>
            </w:pPr>
            <w:r>
              <w:rPr>
                <w:rFonts w:hint="eastAsia" w:ascii="黑体" w:hAnsi="黑体" w:eastAsia="黑体" w:cs="黑体"/>
                <w:b w:val="0"/>
                <w:bCs/>
                <w:snapToGrid w:val="0"/>
                <w:color w:val="000000"/>
                <w:spacing w:val="0"/>
                <w:kern w:val="0"/>
                <w:sz w:val="24"/>
                <w:szCs w:val="24"/>
                <w:highlight w:val="none"/>
                <w:lang w:eastAsia="zh-CN"/>
              </w:rPr>
              <w:t>存在问题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173" w:type="dxa"/>
            <w:gridSpan w:val="7"/>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黑体" w:hAnsi="黑体" w:eastAsia="黑体" w:cs="黑体"/>
                <w:snapToGrid w:val="0"/>
                <w:color w:val="000000"/>
                <w:spacing w:val="0"/>
                <w:kern w:val="0"/>
                <w:sz w:val="24"/>
                <w:szCs w:val="24"/>
                <w:highlight w:val="none"/>
              </w:rPr>
              <w:t>集中交易市场通用检查项目（18项26分）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1.主体资格</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w:t>
            </w:r>
            <w:r>
              <w:rPr>
                <w:rFonts w:hint="eastAsia" w:ascii="仿宋_GB2312" w:hAnsi="仿宋_GB2312" w:eastAsia="仿宋_GB2312" w:cs="仿宋_GB2312"/>
                <w:snapToGrid w:val="0"/>
                <w:color w:val="000000"/>
                <w:spacing w:val="0"/>
                <w:kern w:val="0"/>
                <w:sz w:val="24"/>
                <w:szCs w:val="24"/>
                <w:highlight w:val="none"/>
              </w:rPr>
              <w:t>1.1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rPr>
              <w:t>持有的营业执照等法定主体资格证明文件合法有效</w:t>
            </w:r>
            <w:r>
              <w:rPr>
                <w:rFonts w:hint="eastAsia" w:ascii="仿宋_GB2312" w:hAnsi="仿宋_GB2312" w:eastAsia="仿宋_GB2312" w:cs="仿宋_GB2312"/>
                <w:snapToGrid w:val="0"/>
                <w:color w:val="000000"/>
                <w:spacing w:val="0"/>
                <w:kern w:val="0"/>
                <w:sz w:val="24"/>
                <w:szCs w:val="24"/>
                <w:highlight w:val="none"/>
                <w:lang w:eastAsia="zh-CN"/>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jc w:val="center"/>
        </w:trPr>
        <w:tc>
          <w:tcPr>
            <w:tcW w:w="159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2.开业报告</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2.1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在市场开业前</w:t>
            </w:r>
            <w:r>
              <w:rPr>
                <w:rFonts w:hint="eastAsia" w:ascii="仿宋_GB2312" w:hAnsi="仿宋_GB2312" w:eastAsia="仿宋_GB2312" w:cs="仿宋_GB2312"/>
                <w:snapToGrid w:val="0"/>
                <w:color w:val="000000"/>
                <w:spacing w:val="0"/>
                <w:kern w:val="0"/>
                <w:sz w:val="24"/>
                <w:szCs w:val="24"/>
                <w:highlight w:val="none"/>
              </w:rPr>
              <w:t>如实向所在地市场监管部门报告市场名称、住所、类型、法定代表人或者负责人姓名、食用农产品主要种类等信息。</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3</w:t>
            </w:r>
            <w:r>
              <w:rPr>
                <w:rFonts w:hint="eastAsia" w:ascii="仿宋_GB2312" w:hAnsi="仿宋_GB2312" w:eastAsia="仿宋_GB2312" w:cs="仿宋_GB2312"/>
                <w:snapToGrid w:val="0"/>
                <w:color w:val="000000"/>
                <w:spacing w:val="0"/>
                <w:kern w:val="0"/>
                <w:sz w:val="24"/>
                <w:szCs w:val="24"/>
                <w:highlight w:val="none"/>
              </w:rPr>
              <w:t>.食品安全管理责任</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*3</w:t>
            </w:r>
            <w:r>
              <w:rPr>
                <w:rFonts w:hint="eastAsia" w:ascii="仿宋_GB2312" w:hAnsi="仿宋_GB2312" w:eastAsia="仿宋_GB2312" w:cs="仿宋_GB2312"/>
                <w:snapToGrid w:val="0"/>
                <w:color w:val="000000"/>
                <w:spacing w:val="0"/>
                <w:kern w:val="0"/>
                <w:sz w:val="24"/>
                <w:szCs w:val="24"/>
                <w:highlight w:val="none"/>
              </w:rPr>
              <w:t>.1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rPr>
              <w:t>建立食品安全管理制度、食品安全事故处置方案</w:t>
            </w: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rPr>
              <w:t>明确</w:t>
            </w:r>
            <w:r>
              <w:rPr>
                <w:rFonts w:hint="eastAsia" w:ascii="仿宋_GB2312" w:hAnsi="仿宋_GB2312" w:eastAsia="仿宋_GB2312" w:cs="仿宋_GB2312"/>
                <w:snapToGrid w:val="0"/>
                <w:color w:val="000000"/>
                <w:spacing w:val="0"/>
                <w:kern w:val="0"/>
                <w:sz w:val="24"/>
                <w:szCs w:val="24"/>
                <w:highlight w:val="none"/>
                <w:lang w:eastAsia="zh-CN"/>
              </w:rPr>
              <w:t>其食品安全管理责任</w:t>
            </w:r>
            <w:r>
              <w:rPr>
                <w:rFonts w:hint="eastAsia" w:ascii="仿宋_GB2312" w:hAnsi="仿宋_GB2312" w:eastAsia="仿宋_GB2312" w:cs="仿宋_GB2312"/>
                <w:snapToGrid w:val="0"/>
                <w:color w:val="000000"/>
                <w:spacing w:val="0"/>
                <w:kern w:val="0"/>
                <w:sz w:val="24"/>
                <w:szCs w:val="24"/>
                <w:highlight w:val="none"/>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1A2029"/>
                <w:spacing w:val="0"/>
                <w:kern w:val="0"/>
                <w:sz w:val="24"/>
                <w:szCs w:val="24"/>
                <w:highlight w:val="none"/>
                <w:shd w:val="clear" w:color="auto" w:fill="FFFFFF"/>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*3</w:t>
            </w:r>
            <w:r>
              <w:rPr>
                <w:rFonts w:hint="eastAsia" w:ascii="仿宋_GB2312" w:hAnsi="仿宋_GB2312" w:eastAsia="仿宋_GB2312" w:cs="仿宋_GB2312"/>
                <w:snapToGrid w:val="0"/>
                <w:color w:val="000000"/>
                <w:spacing w:val="0"/>
                <w:kern w:val="0"/>
                <w:sz w:val="24"/>
                <w:szCs w:val="24"/>
                <w:highlight w:val="none"/>
              </w:rPr>
              <w:t>.2</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rPr>
              <w:t>结合实际依法合理配备食品安全员</w:t>
            </w:r>
            <w:r>
              <w:rPr>
                <w:rFonts w:hint="eastAsia" w:ascii="仿宋_GB2312" w:hAnsi="仿宋_GB2312" w:eastAsia="仿宋_GB2312" w:cs="仿宋_GB2312"/>
                <w:snapToGrid w:val="0"/>
                <w:color w:val="000000"/>
                <w:spacing w:val="0"/>
                <w:kern w:val="0"/>
                <w:sz w:val="24"/>
                <w:szCs w:val="24"/>
                <w:highlight w:val="none"/>
                <w:lang w:eastAsia="zh-CN"/>
              </w:rPr>
              <w:t>等食品安全管理人员。</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1A2029"/>
                <w:spacing w:val="0"/>
                <w:kern w:val="0"/>
                <w:sz w:val="24"/>
                <w:szCs w:val="24"/>
                <w:highlight w:val="none"/>
                <w:shd w:val="clear" w:color="auto" w:fill="FFFFFF"/>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3</w:t>
            </w:r>
            <w:r>
              <w:rPr>
                <w:rFonts w:hint="eastAsia" w:ascii="仿宋_GB2312" w:hAnsi="仿宋_GB2312" w:eastAsia="仿宋_GB2312" w:cs="仿宋_GB2312"/>
                <w:snapToGrid w:val="0"/>
                <w:color w:val="000000"/>
                <w:spacing w:val="0"/>
                <w:kern w:val="0"/>
                <w:sz w:val="24"/>
                <w:szCs w:val="24"/>
                <w:highlight w:val="none"/>
              </w:rPr>
              <w:t>.</w:t>
            </w:r>
            <w:r>
              <w:rPr>
                <w:rFonts w:hint="eastAsia" w:ascii="仿宋_GB2312" w:hAnsi="仿宋_GB2312" w:eastAsia="仿宋_GB2312" w:cs="仿宋_GB2312"/>
                <w:snapToGrid w:val="0"/>
                <w:color w:val="000000"/>
                <w:spacing w:val="0"/>
                <w:kern w:val="0"/>
                <w:sz w:val="24"/>
                <w:szCs w:val="24"/>
                <w:highlight w:val="none"/>
                <w:lang w:val="en-US" w:eastAsia="zh-CN"/>
              </w:rPr>
              <w:t>3</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eastAsia="zh-CN"/>
              </w:rPr>
              <w:t>对食品安全管理人员开展培训和考核</w:t>
            </w:r>
            <w:r>
              <w:rPr>
                <w:rFonts w:hint="eastAsia" w:ascii="仿宋_GB2312" w:hAnsi="仿宋_GB2312" w:eastAsia="仿宋_GB2312" w:cs="仿宋_GB2312"/>
                <w:strike w:val="0"/>
                <w:snapToGrid w:val="0"/>
                <w:color w:val="000000"/>
                <w:spacing w:val="0"/>
                <w:kern w:val="0"/>
                <w:sz w:val="24"/>
                <w:szCs w:val="24"/>
                <w:highlight w:val="none"/>
              </w:rPr>
              <w:t>并有</w:t>
            </w:r>
            <w:r>
              <w:rPr>
                <w:rFonts w:hint="eastAsia" w:ascii="仿宋_GB2312" w:hAnsi="仿宋_GB2312" w:eastAsia="仿宋_GB2312" w:cs="仿宋_GB2312"/>
                <w:strike w:val="0"/>
                <w:snapToGrid w:val="0"/>
                <w:color w:val="000000"/>
                <w:spacing w:val="0"/>
                <w:kern w:val="0"/>
                <w:sz w:val="24"/>
                <w:szCs w:val="24"/>
                <w:highlight w:val="none"/>
                <w:lang w:eastAsia="zh-CN"/>
              </w:rPr>
              <w:t>培训考核</w:t>
            </w:r>
            <w:r>
              <w:rPr>
                <w:rFonts w:hint="eastAsia" w:ascii="仿宋_GB2312" w:hAnsi="仿宋_GB2312" w:eastAsia="仿宋_GB2312" w:cs="仿宋_GB2312"/>
                <w:strike w:val="0"/>
                <w:snapToGrid w:val="0"/>
                <w:color w:val="000000"/>
                <w:spacing w:val="0"/>
                <w:kern w:val="0"/>
                <w:sz w:val="24"/>
                <w:szCs w:val="24"/>
                <w:highlight w:val="none"/>
              </w:rPr>
              <w:t>记录</w:t>
            </w:r>
            <w:r>
              <w:rPr>
                <w:rFonts w:hint="eastAsia" w:ascii="仿宋_GB2312" w:hAnsi="仿宋_GB2312" w:eastAsia="仿宋_GB2312" w:cs="仿宋_GB2312"/>
                <w:snapToGrid w:val="0"/>
                <w:color w:val="000000"/>
                <w:spacing w:val="0"/>
                <w:kern w:val="0"/>
                <w:sz w:val="24"/>
                <w:szCs w:val="24"/>
                <w:highlight w:val="none"/>
                <w:lang w:eastAsia="zh-CN"/>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1A2029"/>
                <w:spacing w:val="0"/>
                <w:kern w:val="0"/>
                <w:sz w:val="24"/>
                <w:szCs w:val="24"/>
                <w:highlight w:val="none"/>
                <w:shd w:val="clear" w:color="auto" w:fill="FFFFFF"/>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3</w:t>
            </w:r>
            <w:r>
              <w:rPr>
                <w:rFonts w:hint="eastAsia" w:ascii="仿宋_GB2312" w:hAnsi="仿宋_GB2312" w:eastAsia="仿宋_GB2312" w:cs="仿宋_GB2312"/>
                <w:snapToGrid w:val="0"/>
                <w:color w:val="000000"/>
                <w:spacing w:val="0"/>
                <w:kern w:val="0"/>
                <w:sz w:val="24"/>
                <w:szCs w:val="24"/>
                <w:highlight w:val="none"/>
              </w:rPr>
              <w:t>.</w:t>
            </w:r>
            <w:r>
              <w:rPr>
                <w:rFonts w:hint="eastAsia" w:ascii="仿宋_GB2312" w:hAnsi="仿宋_GB2312" w:eastAsia="仿宋_GB2312" w:cs="仿宋_GB2312"/>
                <w:snapToGrid w:val="0"/>
                <w:color w:val="000000"/>
                <w:spacing w:val="0"/>
                <w:kern w:val="0"/>
                <w:sz w:val="24"/>
                <w:szCs w:val="24"/>
                <w:highlight w:val="none"/>
                <w:lang w:val="en-US" w:eastAsia="zh-CN"/>
              </w:rPr>
              <w:t>4</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eastAsia="zh-CN"/>
              </w:rPr>
              <w:t>对入场销售者开展</w:t>
            </w:r>
            <w:r>
              <w:rPr>
                <w:rFonts w:hint="eastAsia" w:ascii="仿宋_GB2312" w:hAnsi="仿宋_GB2312" w:eastAsia="仿宋_GB2312" w:cs="仿宋_GB2312"/>
                <w:strike w:val="0"/>
                <w:snapToGrid w:val="0"/>
                <w:color w:val="000000"/>
                <w:spacing w:val="0"/>
                <w:kern w:val="0"/>
                <w:sz w:val="24"/>
                <w:szCs w:val="24"/>
                <w:highlight w:val="none"/>
              </w:rPr>
              <w:t>食品安全知识</w:t>
            </w:r>
            <w:r>
              <w:rPr>
                <w:rFonts w:hint="eastAsia" w:ascii="仿宋_GB2312" w:hAnsi="仿宋_GB2312" w:eastAsia="仿宋_GB2312" w:cs="仿宋_GB2312"/>
                <w:strike w:val="0"/>
                <w:snapToGrid w:val="0"/>
                <w:color w:val="000000"/>
                <w:spacing w:val="0"/>
                <w:kern w:val="0"/>
                <w:sz w:val="24"/>
                <w:szCs w:val="24"/>
                <w:highlight w:val="none"/>
                <w:lang w:eastAsia="zh-CN"/>
              </w:rPr>
              <w:t>宣传教育</w:t>
            </w:r>
            <w:r>
              <w:rPr>
                <w:rFonts w:hint="eastAsia" w:ascii="仿宋_GB2312" w:hAnsi="仿宋_GB2312" w:eastAsia="仿宋_GB2312" w:cs="仿宋_GB2312"/>
                <w:strike w:val="0"/>
                <w:snapToGrid w:val="0"/>
                <w:color w:val="000000"/>
                <w:spacing w:val="0"/>
                <w:kern w:val="0"/>
                <w:sz w:val="24"/>
                <w:szCs w:val="24"/>
                <w:highlight w:val="none"/>
              </w:rPr>
              <w:t>并</w:t>
            </w:r>
            <w:r>
              <w:rPr>
                <w:rFonts w:hint="eastAsia" w:ascii="仿宋_GB2312" w:hAnsi="仿宋_GB2312" w:eastAsia="仿宋_GB2312" w:cs="仿宋_GB2312"/>
                <w:strike w:val="0"/>
                <w:snapToGrid w:val="0"/>
                <w:color w:val="000000"/>
                <w:spacing w:val="0"/>
                <w:kern w:val="0"/>
                <w:sz w:val="24"/>
                <w:szCs w:val="24"/>
                <w:highlight w:val="none"/>
                <w:lang w:eastAsia="zh-CN"/>
              </w:rPr>
              <w:t>留存相关</w:t>
            </w:r>
            <w:r>
              <w:rPr>
                <w:rFonts w:hint="eastAsia" w:ascii="仿宋_GB2312" w:hAnsi="仿宋_GB2312" w:eastAsia="仿宋_GB2312" w:cs="仿宋_GB2312"/>
                <w:strike w:val="0"/>
                <w:snapToGrid w:val="0"/>
                <w:color w:val="000000"/>
                <w:spacing w:val="0"/>
                <w:kern w:val="0"/>
                <w:sz w:val="24"/>
                <w:szCs w:val="24"/>
                <w:highlight w:val="none"/>
              </w:rPr>
              <w:t>记录</w:t>
            </w:r>
            <w:r>
              <w:rPr>
                <w:rFonts w:hint="eastAsia" w:ascii="仿宋_GB2312" w:hAnsi="仿宋_GB2312" w:eastAsia="仿宋_GB2312" w:cs="仿宋_GB2312"/>
                <w:snapToGrid w:val="0"/>
                <w:color w:val="000000"/>
                <w:spacing w:val="0"/>
                <w:kern w:val="0"/>
                <w:sz w:val="24"/>
                <w:szCs w:val="24"/>
                <w:highlight w:val="none"/>
                <w:lang w:eastAsia="zh-CN"/>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1A2029"/>
                <w:spacing w:val="0"/>
                <w:kern w:val="0"/>
                <w:sz w:val="24"/>
                <w:szCs w:val="24"/>
                <w:highlight w:val="none"/>
                <w:shd w:val="clear" w:color="auto" w:fill="FFFFFF"/>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1595"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4</w:t>
            </w:r>
            <w:r>
              <w:rPr>
                <w:rFonts w:hint="eastAsia" w:ascii="仿宋_GB2312" w:hAnsi="仿宋_GB2312" w:eastAsia="仿宋_GB2312" w:cs="仿宋_GB2312"/>
                <w:snapToGrid w:val="0"/>
                <w:color w:val="000000"/>
                <w:spacing w:val="0"/>
                <w:kern w:val="0"/>
                <w:sz w:val="24"/>
                <w:szCs w:val="24"/>
                <w:highlight w:val="none"/>
              </w:rPr>
              <w:t>.经营条件</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4</w:t>
            </w:r>
            <w:r>
              <w:rPr>
                <w:rFonts w:hint="eastAsia" w:ascii="仿宋_GB2312" w:hAnsi="仿宋_GB2312" w:eastAsia="仿宋_GB2312" w:cs="仿宋_GB2312"/>
                <w:snapToGrid w:val="0"/>
                <w:color w:val="000000"/>
                <w:spacing w:val="0"/>
                <w:kern w:val="0"/>
                <w:sz w:val="24"/>
                <w:szCs w:val="24"/>
                <w:highlight w:val="none"/>
              </w:rPr>
              <w:t>.1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eastAsia="zh-CN"/>
              </w:rPr>
              <w:t>食品经营区域与非食品经营区域、生食区域与熟食区域分开，</w:t>
            </w:r>
            <w:r>
              <w:rPr>
                <w:rFonts w:hint="eastAsia" w:ascii="仿宋_GB2312" w:hAnsi="仿宋_GB2312" w:eastAsia="仿宋_GB2312" w:cs="仿宋_GB2312"/>
                <w:snapToGrid w:val="0"/>
                <w:color w:val="000000"/>
                <w:spacing w:val="0"/>
                <w:kern w:val="0"/>
                <w:sz w:val="24"/>
                <w:szCs w:val="24"/>
                <w:highlight w:val="none"/>
              </w:rPr>
              <w:t>食用农产品按照类别</w:t>
            </w:r>
            <w:r>
              <w:rPr>
                <w:rFonts w:hint="eastAsia" w:ascii="仿宋_GB2312" w:hAnsi="仿宋_GB2312" w:eastAsia="仿宋_GB2312" w:cs="仿宋_GB2312"/>
                <w:snapToGrid w:val="0"/>
                <w:color w:val="000000"/>
                <w:spacing w:val="0"/>
                <w:kern w:val="0"/>
                <w:sz w:val="24"/>
                <w:szCs w:val="24"/>
                <w:highlight w:val="none"/>
                <w:lang w:eastAsia="zh-CN"/>
              </w:rPr>
              <w:t>实施</w:t>
            </w:r>
            <w:r>
              <w:rPr>
                <w:rFonts w:hint="eastAsia" w:ascii="仿宋_GB2312" w:hAnsi="仿宋_GB2312" w:eastAsia="仿宋_GB2312" w:cs="仿宋_GB2312"/>
                <w:snapToGrid w:val="0"/>
                <w:color w:val="000000"/>
                <w:spacing w:val="0"/>
                <w:kern w:val="0"/>
                <w:sz w:val="24"/>
                <w:szCs w:val="24"/>
                <w:highlight w:val="none"/>
              </w:rPr>
              <w:t>分区销售</w:t>
            </w:r>
            <w:r>
              <w:rPr>
                <w:rFonts w:hint="eastAsia" w:ascii="仿宋_GB2312" w:hAnsi="仿宋_GB2312" w:eastAsia="仿宋_GB2312" w:cs="仿宋_GB2312"/>
                <w:snapToGrid w:val="0"/>
                <w:color w:val="000000"/>
                <w:spacing w:val="0"/>
                <w:kern w:val="0"/>
                <w:sz w:val="24"/>
                <w:szCs w:val="24"/>
                <w:highlight w:val="none"/>
                <w:lang w:eastAsia="zh-CN"/>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val="en-US" w:eastAsia="zh-CN"/>
              </w:rPr>
              <w:t>2</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1A2029"/>
                <w:spacing w:val="0"/>
                <w:kern w:val="0"/>
                <w:sz w:val="24"/>
                <w:szCs w:val="24"/>
                <w:highlight w:val="none"/>
                <w:shd w:val="clear" w:color="auto" w:fill="FFFFFF"/>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4</w:t>
            </w:r>
            <w:r>
              <w:rPr>
                <w:rFonts w:hint="eastAsia" w:ascii="仿宋_GB2312" w:hAnsi="仿宋_GB2312" w:eastAsia="仿宋_GB2312" w:cs="仿宋_GB2312"/>
                <w:snapToGrid w:val="0"/>
                <w:color w:val="000000"/>
                <w:spacing w:val="0"/>
                <w:kern w:val="0"/>
                <w:sz w:val="24"/>
                <w:szCs w:val="24"/>
                <w:highlight w:val="none"/>
              </w:rPr>
              <w:t>.</w:t>
            </w:r>
            <w:r>
              <w:rPr>
                <w:rFonts w:hint="eastAsia" w:ascii="仿宋_GB2312" w:hAnsi="仿宋_GB2312" w:eastAsia="仿宋_GB2312" w:cs="仿宋_GB2312"/>
                <w:snapToGrid w:val="0"/>
                <w:color w:val="000000"/>
                <w:spacing w:val="0"/>
                <w:kern w:val="0"/>
                <w:sz w:val="24"/>
                <w:szCs w:val="24"/>
                <w:highlight w:val="none"/>
                <w:lang w:val="en-US" w:eastAsia="zh-CN"/>
              </w:rPr>
              <w:t>2</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rPr>
              <w:t>销售和贮存环境、设施、设备等符合</w:t>
            </w:r>
            <w:r>
              <w:rPr>
                <w:rFonts w:hint="eastAsia" w:ascii="仿宋_GB2312" w:hAnsi="仿宋_GB2312" w:eastAsia="仿宋_GB2312" w:cs="仿宋_GB2312"/>
                <w:snapToGrid w:val="0"/>
                <w:color w:val="000000"/>
                <w:spacing w:val="0"/>
                <w:kern w:val="0"/>
                <w:sz w:val="24"/>
                <w:szCs w:val="24"/>
                <w:highlight w:val="none"/>
                <w:lang w:eastAsia="zh-CN"/>
              </w:rPr>
              <w:t>食品</w:t>
            </w:r>
            <w:r>
              <w:rPr>
                <w:rFonts w:hint="eastAsia" w:ascii="仿宋_GB2312" w:hAnsi="仿宋_GB2312" w:eastAsia="仿宋_GB2312" w:cs="仿宋_GB2312"/>
                <w:snapToGrid w:val="0"/>
                <w:color w:val="000000"/>
                <w:spacing w:val="0"/>
                <w:kern w:val="0"/>
                <w:sz w:val="24"/>
                <w:szCs w:val="24"/>
                <w:highlight w:val="none"/>
              </w:rPr>
              <w:t>安全的要</w:t>
            </w:r>
            <w:r>
              <w:rPr>
                <w:rFonts w:hint="eastAsia" w:ascii="仿宋_GB2312" w:hAnsi="仿宋_GB2312" w:eastAsia="仿宋_GB2312" w:cs="仿宋_GB2312"/>
                <w:snapToGrid w:val="0"/>
                <w:color w:val="000000"/>
                <w:spacing w:val="0"/>
                <w:kern w:val="0"/>
                <w:sz w:val="24"/>
                <w:szCs w:val="24"/>
                <w:highlight w:val="none"/>
                <w:lang w:eastAsia="zh-CN"/>
              </w:rPr>
              <w:t>求。</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2</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1A2029"/>
                <w:spacing w:val="0"/>
                <w:kern w:val="0"/>
                <w:sz w:val="24"/>
                <w:szCs w:val="24"/>
                <w:highlight w:val="none"/>
                <w:shd w:val="clear" w:color="auto" w:fill="FFFFFF"/>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3"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4</w:t>
            </w:r>
            <w:r>
              <w:rPr>
                <w:rFonts w:hint="eastAsia" w:ascii="仿宋_GB2312" w:hAnsi="仿宋_GB2312" w:eastAsia="仿宋_GB2312" w:cs="仿宋_GB2312"/>
                <w:snapToGrid w:val="0"/>
                <w:color w:val="000000"/>
                <w:spacing w:val="0"/>
                <w:kern w:val="0"/>
                <w:sz w:val="24"/>
                <w:szCs w:val="24"/>
                <w:highlight w:val="none"/>
              </w:rPr>
              <w:t>.</w:t>
            </w:r>
            <w:r>
              <w:rPr>
                <w:rFonts w:hint="eastAsia" w:ascii="仿宋_GB2312" w:hAnsi="仿宋_GB2312" w:eastAsia="仿宋_GB2312" w:cs="仿宋_GB2312"/>
                <w:snapToGrid w:val="0"/>
                <w:color w:val="000000"/>
                <w:spacing w:val="0"/>
                <w:kern w:val="0"/>
                <w:sz w:val="24"/>
                <w:szCs w:val="24"/>
                <w:highlight w:val="none"/>
                <w:lang w:val="en-US" w:eastAsia="zh-CN"/>
              </w:rPr>
              <w:t>3</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市场内有宰杀</w:t>
            </w:r>
            <w:r>
              <w:rPr>
                <w:rFonts w:hint="eastAsia" w:ascii="仿宋_GB2312" w:hAnsi="仿宋_GB2312" w:eastAsia="仿宋_GB2312" w:cs="仿宋_GB2312"/>
                <w:snapToGrid w:val="0"/>
                <w:color w:val="000000"/>
                <w:spacing w:val="0"/>
                <w:kern w:val="0"/>
                <w:sz w:val="24"/>
                <w:szCs w:val="24"/>
                <w:highlight w:val="none"/>
              </w:rPr>
              <w:t>活禽</w:t>
            </w:r>
            <w:r>
              <w:rPr>
                <w:rFonts w:hint="eastAsia" w:ascii="仿宋_GB2312" w:hAnsi="仿宋_GB2312" w:eastAsia="仿宋_GB2312" w:cs="仿宋_GB2312"/>
                <w:snapToGrid w:val="0"/>
                <w:color w:val="000000"/>
                <w:spacing w:val="0"/>
                <w:kern w:val="0"/>
                <w:sz w:val="24"/>
                <w:szCs w:val="24"/>
                <w:highlight w:val="none"/>
                <w:lang w:eastAsia="zh-CN"/>
              </w:rPr>
              <w:t>的，</w:t>
            </w:r>
            <w:r>
              <w:rPr>
                <w:rFonts w:hint="eastAsia" w:ascii="仿宋_GB2312" w:hAnsi="仿宋_GB2312" w:eastAsia="仿宋_GB2312" w:cs="仿宋_GB2312"/>
                <w:snapToGrid w:val="0"/>
                <w:color w:val="000000"/>
                <w:spacing w:val="0"/>
                <w:kern w:val="0"/>
                <w:sz w:val="24"/>
                <w:szCs w:val="24"/>
                <w:highlight w:val="none"/>
              </w:rPr>
              <w:t>宰杀区域相对封闭，活禽销售区、宰杀加工区与消费者之间物理隔离</w:t>
            </w:r>
            <w:r>
              <w:rPr>
                <w:rFonts w:hint="eastAsia" w:ascii="仿宋_GB2312" w:hAnsi="仿宋_GB2312" w:eastAsia="仿宋_GB2312" w:cs="仿宋_GB2312"/>
                <w:snapToGrid w:val="0"/>
                <w:color w:val="000000"/>
                <w:spacing w:val="0"/>
                <w:kern w:val="0"/>
                <w:sz w:val="24"/>
                <w:szCs w:val="24"/>
                <w:highlight w:val="none"/>
                <w:lang w:eastAsia="zh-CN"/>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2</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1A2029"/>
                <w:spacing w:val="0"/>
                <w:kern w:val="0"/>
                <w:sz w:val="24"/>
                <w:szCs w:val="24"/>
                <w:highlight w:val="none"/>
                <w:shd w:val="clear" w:color="auto" w:fill="FFFFFF"/>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jc w:val="center"/>
        </w:trPr>
        <w:tc>
          <w:tcPr>
            <w:tcW w:w="159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r>
              <w:rPr>
                <w:rFonts w:hint="eastAsia" w:ascii="仿宋_GB2312" w:hAnsi="仿宋_GB2312" w:eastAsia="仿宋_GB2312" w:cs="仿宋_GB2312"/>
                <w:snapToGrid w:val="0"/>
                <w:color w:val="000000"/>
                <w:spacing w:val="0"/>
                <w:kern w:val="0"/>
                <w:sz w:val="24"/>
                <w:szCs w:val="24"/>
                <w:highlight w:val="none"/>
                <w:lang w:val="en-US" w:eastAsia="zh-CN"/>
              </w:rPr>
              <w:t>5</w:t>
            </w:r>
            <w:r>
              <w:rPr>
                <w:rFonts w:hint="eastAsia" w:ascii="仿宋_GB2312" w:hAnsi="仿宋_GB2312" w:eastAsia="仿宋_GB2312" w:cs="仿宋_GB2312"/>
                <w:snapToGrid w:val="0"/>
                <w:color w:val="000000"/>
                <w:spacing w:val="0"/>
                <w:kern w:val="0"/>
                <w:sz w:val="24"/>
                <w:szCs w:val="24"/>
                <w:highlight w:val="none"/>
              </w:rPr>
              <w:t>.签订质量安全协议</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5</w:t>
            </w:r>
            <w:r>
              <w:rPr>
                <w:rFonts w:hint="eastAsia" w:ascii="仿宋_GB2312" w:hAnsi="仿宋_GB2312" w:eastAsia="仿宋_GB2312" w:cs="仿宋_GB2312"/>
                <w:snapToGrid w:val="0"/>
                <w:color w:val="000000"/>
                <w:spacing w:val="0"/>
                <w:kern w:val="0"/>
                <w:sz w:val="24"/>
                <w:szCs w:val="24"/>
                <w:highlight w:val="none"/>
              </w:rPr>
              <w:t>.1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r>
              <w:rPr>
                <w:rFonts w:hint="eastAsia" w:ascii="仿宋_GB2312" w:hAnsi="仿宋_GB2312" w:eastAsia="仿宋_GB2312" w:cs="仿宋_GB2312"/>
                <w:snapToGrid w:val="0"/>
                <w:color w:val="000000"/>
                <w:spacing w:val="0"/>
                <w:kern w:val="0"/>
                <w:sz w:val="24"/>
                <w:szCs w:val="24"/>
                <w:highlight w:val="none"/>
              </w:rPr>
              <w:t>与入场销售者签订食用农产品质量安全协议</w:t>
            </w: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rPr>
              <w:t>不</w:t>
            </w:r>
            <w:r>
              <w:rPr>
                <w:rFonts w:hint="eastAsia" w:ascii="仿宋_GB2312" w:hAnsi="仿宋_GB2312" w:eastAsia="仿宋_GB2312" w:cs="仿宋_GB2312"/>
                <w:snapToGrid w:val="0"/>
                <w:color w:val="000000"/>
                <w:spacing w:val="0"/>
                <w:kern w:val="0"/>
                <w:sz w:val="24"/>
                <w:szCs w:val="24"/>
                <w:highlight w:val="none"/>
                <w:lang w:eastAsia="zh-CN"/>
              </w:rPr>
              <w:t>得允许</w:t>
            </w:r>
            <w:r>
              <w:rPr>
                <w:rFonts w:hint="eastAsia" w:ascii="仿宋_GB2312" w:hAnsi="仿宋_GB2312" w:eastAsia="仿宋_GB2312" w:cs="仿宋_GB2312"/>
                <w:snapToGrid w:val="0"/>
                <w:color w:val="000000"/>
                <w:spacing w:val="0"/>
                <w:kern w:val="0"/>
                <w:sz w:val="24"/>
                <w:szCs w:val="24"/>
                <w:highlight w:val="none"/>
              </w:rPr>
              <w:t>未签订食用农产品质量安全责任协议的销售者进入市场进行销售</w:t>
            </w:r>
            <w:r>
              <w:rPr>
                <w:rFonts w:hint="eastAsia" w:ascii="仿宋_GB2312" w:hAnsi="仿宋_GB2312" w:eastAsia="仿宋_GB2312" w:cs="仿宋_GB2312"/>
                <w:snapToGrid w:val="0"/>
                <w:color w:val="000000"/>
                <w:spacing w:val="0"/>
                <w:kern w:val="0"/>
                <w:sz w:val="24"/>
                <w:szCs w:val="24"/>
                <w:highlight w:val="none"/>
                <w:lang w:eastAsia="zh-CN"/>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r>
              <w:rPr>
                <w:rFonts w:hint="eastAsia" w:ascii="仿宋_GB2312" w:hAnsi="仿宋_GB2312" w:eastAsia="仿宋_GB2312" w:cs="仿宋_GB2312"/>
                <w:snapToGrid w:val="0"/>
                <w:color w:val="000000"/>
                <w:spacing w:val="0"/>
                <w:kern w:val="0"/>
                <w:sz w:val="24"/>
                <w:szCs w:val="24"/>
                <w:highlight w:val="none"/>
                <w:lang w:val="en-US" w:eastAsia="zh-CN" w:bidi="ar-SA"/>
              </w:rPr>
              <w:t>2</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7" w:hRule="atLeast"/>
          <w:jc w:val="center"/>
        </w:trPr>
        <w:tc>
          <w:tcPr>
            <w:tcW w:w="1595"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6</w:t>
            </w:r>
            <w:r>
              <w:rPr>
                <w:rFonts w:hint="eastAsia" w:ascii="仿宋_GB2312" w:hAnsi="仿宋_GB2312" w:eastAsia="仿宋_GB2312" w:cs="仿宋_GB2312"/>
                <w:snapToGrid w:val="0"/>
                <w:color w:val="000000"/>
                <w:spacing w:val="0"/>
                <w:kern w:val="0"/>
                <w:sz w:val="24"/>
                <w:szCs w:val="24"/>
                <w:highlight w:val="none"/>
              </w:rPr>
              <w:t>.入场销售者管理</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6.1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rPr>
              <w:t>建立并</w:t>
            </w:r>
            <w:r>
              <w:rPr>
                <w:rFonts w:hint="eastAsia" w:ascii="仿宋_GB2312" w:hAnsi="仿宋_GB2312" w:eastAsia="仿宋_GB2312" w:cs="仿宋_GB2312"/>
                <w:snapToGrid w:val="0"/>
                <w:color w:val="000000"/>
                <w:spacing w:val="0"/>
                <w:kern w:val="0"/>
                <w:sz w:val="24"/>
                <w:szCs w:val="24"/>
                <w:highlight w:val="none"/>
                <w:lang w:eastAsia="zh-CN"/>
              </w:rPr>
              <w:t>及时</w:t>
            </w:r>
            <w:r>
              <w:rPr>
                <w:rFonts w:hint="eastAsia" w:ascii="仿宋_GB2312" w:hAnsi="仿宋_GB2312" w:eastAsia="仿宋_GB2312" w:cs="仿宋_GB2312"/>
                <w:snapToGrid w:val="0"/>
                <w:color w:val="000000"/>
                <w:spacing w:val="0"/>
                <w:kern w:val="0"/>
                <w:sz w:val="24"/>
                <w:szCs w:val="24"/>
                <w:highlight w:val="none"/>
              </w:rPr>
              <w:t>更新入场销售者档案，</w:t>
            </w:r>
            <w:r>
              <w:rPr>
                <w:rFonts w:hint="eastAsia" w:ascii="仿宋_GB2312" w:hAnsi="仿宋_GB2312" w:eastAsia="仿宋_GB2312" w:cs="仿宋_GB2312"/>
                <w:snapToGrid w:val="0"/>
                <w:color w:val="000000"/>
                <w:spacing w:val="0"/>
                <w:kern w:val="0"/>
                <w:sz w:val="24"/>
                <w:szCs w:val="24"/>
                <w:highlight w:val="none"/>
                <w:lang w:val="en-US" w:eastAsia="zh-CN"/>
              </w:rPr>
              <w:t>如实记录食用农品</w:t>
            </w:r>
            <w:r>
              <w:rPr>
                <w:rFonts w:hint="eastAsia" w:ascii="仿宋_GB2312" w:hAnsi="仿宋_GB2312" w:eastAsia="仿宋_GB2312" w:cs="仿宋_GB2312"/>
                <w:i w:val="0"/>
                <w:iCs w:val="0"/>
                <w:caps w:val="0"/>
                <w:snapToGrid w:val="0"/>
                <w:color w:val="000000"/>
                <w:spacing w:val="0"/>
                <w:kern w:val="0"/>
                <w:sz w:val="24"/>
                <w:szCs w:val="24"/>
                <w:highlight w:val="none"/>
                <w:shd w:val="clear" w:color="auto" w:fill="auto"/>
              </w:rPr>
              <w:t>销售者名称或者姓名、统一社会信用代码或者身份证号码、联系方式，</w:t>
            </w:r>
            <w:r>
              <w:rPr>
                <w:rFonts w:hint="eastAsia" w:ascii="仿宋_GB2312" w:hAnsi="仿宋_GB2312" w:eastAsia="仿宋_GB2312" w:cs="仿宋_GB2312"/>
                <w:i w:val="0"/>
                <w:iCs w:val="0"/>
                <w:caps w:val="0"/>
                <w:snapToGrid w:val="0"/>
                <w:color w:val="000000"/>
                <w:spacing w:val="0"/>
                <w:kern w:val="0"/>
                <w:sz w:val="24"/>
                <w:szCs w:val="24"/>
                <w:highlight w:val="none"/>
                <w:shd w:val="clear" w:color="auto" w:fill="auto"/>
                <w:lang w:eastAsia="zh-CN"/>
              </w:rPr>
              <w:t>食品销售者的</w:t>
            </w:r>
            <w:r>
              <w:rPr>
                <w:rFonts w:hint="eastAsia" w:ascii="仿宋_GB2312" w:hAnsi="仿宋_GB2312" w:eastAsia="仿宋_GB2312" w:cs="仿宋_GB2312"/>
                <w:i w:val="0"/>
                <w:iCs w:val="0"/>
                <w:caps w:val="0"/>
                <w:snapToGrid w:val="0"/>
                <w:color w:val="000000"/>
                <w:spacing w:val="0"/>
                <w:kern w:val="0"/>
                <w:sz w:val="24"/>
                <w:szCs w:val="24"/>
                <w:highlight w:val="none"/>
                <w:shd w:val="clear" w:color="auto" w:fill="auto"/>
              </w:rPr>
              <w:t>名称或者姓名</w:t>
            </w:r>
            <w:r>
              <w:rPr>
                <w:rFonts w:hint="eastAsia" w:ascii="仿宋_GB2312" w:hAnsi="仿宋_GB2312" w:eastAsia="仿宋_GB2312" w:cs="仿宋_GB2312"/>
                <w:i w:val="0"/>
                <w:iCs w:val="0"/>
                <w:caps w:val="0"/>
                <w:snapToGrid w:val="0"/>
                <w:color w:val="000000"/>
                <w:spacing w:val="0"/>
                <w:kern w:val="0"/>
                <w:sz w:val="24"/>
                <w:szCs w:val="24"/>
                <w:highlight w:val="none"/>
                <w:shd w:val="clear" w:color="auto" w:fill="auto"/>
                <w:lang w:eastAsia="zh-CN"/>
              </w:rPr>
              <w:t>、营业执照、食品经营许可证</w:t>
            </w:r>
            <w:r>
              <w:rPr>
                <w:rFonts w:hint="eastAsia" w:ascii="仿宋_GB2312" w:hAnsi="仿宋_GB2312" w:eastAsia="仿宋_GB2312" w:cs="仿宋_GB2312"/>
                <w:snapToGrid w:val="0"/>
                <w:color w:val="000000"/>
                <w:spacing w:val="0"/>
                <w:kern w:val="0"/>
                <w:sz w:val="24"/>
                <w:szCs w:val="24"/>
                <w:highlight w:val="none"/>
                <w:lang w:eastAsia="zh-CN"/>
              </w:rPr>
              <w:t>或仅销售预包装食品备案信息表、联系方式，</w:t>
            </w:r>
            <w:r>
              <w:rPr>
                <w:rFonts w:hint="eastAsia" w:ascii="仿宋_GB2312" w:hAnsi="仿宋_GB2312" w:eastAsia="仿宋_GB2312" w:cs="仿宋_GB2312"/>
                <w:snapToGrid w:val="0"/>
                <w:color w:val="000000"/>
                <w:spacing w:val="0"/>
                <w:kern w:val="0"/>
                <w:sz w:val="24"/>
                <w:szCs w:val="24"/>
                <w:highlight w:val="none"/>
              </w:rPr>
              <w:t>以及市场自查和抽检中发现的问题和处理信息</w:t>
            </w:r>
            <w:r>
              <w:rPr>
                <w:rFonts w:hint="eastAsia" w:ascii="仿宋_GB2312" w:hAnsi="仿宋_GB2312" w:eastAsia="仿宋_GB2312" w:cs="仿宋_GB2312"/>
                <w:snapToGrid w:val="0"/>
                <w:color w:val="000000"/>
                <w:spacing w:val="0"/>
                <w:kern w:val="0"/>
                <w:sz w:val="24"/>
                <w:szCs w:val="24"/>
                <w:highlight w:val="none"/>
                <w:lang w:eastAsia="zh-CN"/>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6.2</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i w:val="0"/>
                <w:iCs w:val="0"/>
                <w:caps w:val="0"/>
                <w:snapToGrid w:val="0"/>
                <w:color w:val="000000"/>
                <w:spacing w:val="0"/>
                <w:kern w:val="0"/>
                <w:sz w:val="24"/>
                <w:szCs w:val="24"/>
                <w:highlight w:val="none"/>
                <w:shd w:val="clear" w:color="auto" w:fill="auto"/>
              </w:rPr>
              <w:t>对声称销售自产食用农产品的，应当查验自产食用农产品的承诺达标合格证或者查验并留存销售者身份证号码、联系方式、住所以及食用农产品名称、数量、入场日期等信息。</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bidi="ar-SA"/>
              </w:rPr>
            </w:pPr>
            <w:r>
              <w:rPr>
                <w:rFonts w:hint="eastAsia" w:ascii="仿宋_GB2312" w:hAnsi="仿宋_GB2312" w:eastAsia="仿宋_GB2312" w:cs="仿宋_GB2312"/>
                <w:snapToGrid w:val="0"/>
                <w:color w:val="000000"/>
                <w:spacing w:val="0"/>
                <w:kern w:val="0"/>
                <w:sz w:val="24"/>
                <w:szCs w:val="24"/>
                <w:highlight w:val="none"/>
                <w:lang w:val="en-US" w:eastAsia="zh-CN" w:bidi="ar-SA"/>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7" w:hRule="atLeast"/>
          <w:jc w:val="center"/>
        </w:trPr>
        <w:tc>
          <w:tcPr>
            <w:tcW w:w="1595"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7</w:t>
            </w:r>
            <w:r>
              <w:rPr>
                <w:rFonts w:hint="eastAsia" w:ascii="仿宋_GB2312" w:hAnsi="仿宋_GB2312" w:eastAsia="仿宋_GB2312" w:cs="仿宋_GB2312"/>
                <w:snapToGrid w:val="0"/>
                <w:color w:val="000000"/>
                <w:spacing w:val="0"/>
                <w:kern w:val="0"/>
                <w:sz w:val="24"/>
                <w:szCs w:val="24"/>
                <w:highlight w:val="none"/>
              </w:rPr>
              <w:t>.</w:t>
            </w:r>
            <w:r>
              <w:rPr>
                <w:rFonts w:hint="eastAsia" w:ascii="仿宋_GB2312" w:hAnsi="仿宋_GB2312" w:eastAsia="仿宋_GB2312" w:cs="仿宋_GB2312"/>
                <w:snapToGrid w:val="0"/>
                <w:color w:val="000000"/>
                <w:spacing w:val="0"/>
                <w:kern w:val="0"/>
                <w:sz w:val="24"/>
                <w:szCs w:val="24"/>
                <w:highlight w:val="none"/>
                <w:lang w:eastAsia="zh-CN"/>
              </w:rPr>
              <w:t>场内</w:t>
            </w:r>
            <w:r>
              <w:rPr>
                <w:rFonts w:hint="eastAsia" w:ascii="仿宋_GB2312" w:hAnsi="仿宋_GB2312" w:eastAsia="仿宋_GB2312" w:cs="仿宋_GB2312"/>
                <w:snapToGrid w:val="0"/>
                <w:color w:val="000000"/>
                <w:spacing w:val="0"/>
                <w:kern w:val="0"/>
                <w:sz w:val="24"/>
                <w:szCs w:val="24"/>
                <w:highlight w:val="none"/>
              </w:rPr>
              <w:t>管理</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highlight w:val="none"/>
              </w:rPr>
            </w:pPr>
            <w:r>
              <w:rPr>
                <w:rFonts w:hint="eastAsia" w:ascii="仿宋_GB2312" w:hAnsi="仿宋_GB2312" w:eastAsia="仿宋_GB2312" w:cs="仿宋_GB2312"/>
                <w:snapToGrid w:val="0"/>
                <w:color w:val="auto"/>
                <w:spacing w:val="0"/>
                <w:kern w:val="0"/>
                <w:sz w:val="24"/>
                <w:szCs w:val="24"/>
                <w:highlight w:val="none"/>
                <w:lang w:eastAsia="zh-CN"/>
              </w:rPr>
              <w:t>*</w:t>
            </w:r>
            <w:r>
              <w:rPr>
                <w:rFonts w:hint="eastAsia" w:ascii="仿宋_GB2312" w:hAnsi="仿宋_GB2312" w:eastAsia="仿宋_GB2312" w:cs="仿宋_GB2312"/>
                <w:snapToGrid w:val="0"/>
                <w:color w:val="auto"/>
                <w:spacing w:val="0"/>
                <w:kern w:val="0"/>
                <w:sz w:val="24"/>
                <w:szCs w:val="24"/>
                <w:highlight w:val="none"/>
                <w:lang w:val="en-US" w:eastAsia="zh-CN"/>
              </w:rPr>
              <w:t>7</w:t>
            </w:r>
            <w:r>
              <w:rPr>
                <w:rFonts w:hint="eastAsia" w:ascii="仿宋_GB2312" w:hAnsi="仿宋_GB2312" w:eastAsia="仿宋_GB2312" w:cs="仿宋_GB2312"/>
                <w:snapToGrid w:val="0"/>
                <w:color w:val="auto"/>
                <w:spacing w:val="0"/>
                <w:kern w:val="0"/>
                <w:sz w:val="24"/>
                <w:szCs w:val="24"/>
                <w:highlight w:val="none"/>
              </w:rPr>
              <w:t>.1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rPr>
            </w:pPr>
            <w:r>
              <w:rPr>
                <w:rFonts w:hint="eastAsia" w:ascii="仿宋_GB2312" w:hAnsi="仿宋_GB2312" w:eastAsia="仿宋_GB2312" w:cs="仿宋_GB2312"/>
                <w:snapToGrid w:val="0"/>
                <w:color w:val="auto"/>
                <w:spacing w:val="0"/>
                <w:kern w:val="0"/>
                <w:sz w:val="24"/>
                <w:szCs w:val="24"/>
                <w:highlight w:val="none"/>
              </w:rPr>
              <w:t>查验入场食用农产品的</w:t>
            </w:r>
            <w:r>
              <w:rPr>
                <w:rFonts w:hint="eastAsia" w:ascii="仿宋_GB2312" w:hAnsi="仿宋_GB2312" w:eastAsia="仿宋_GB2312" w:cs="仿宋_GB2312"/>
                <w:snapToGrid w:val="0"/>
                <w:color w:val="auto"/>
                <w:spacing w:val="0"/>
                <w:kern w:val="0"/>
                <w:sz w:val="24"/>
                <w:szCs w:val="24"/>
                <w:highlight w:val="none"/>
                <w:lang w:val="en-US" w:eastAsia="zh-CN"/>
              </w:rPr>
              <w:t>进货凭证和</w:t>
            </w:r>
            <w:r>
              <w:rPr>
                <w:rFonts w:hint="eastAsia" w:ascii="仿宋_GB2312" w:hAnsi="仿宋_GB2312" w:eastAsia="仿宋_GB2312" w:cs="仿宋_GB2312"/>
                <w:snapToGrid w:val="0"/>
                <w:color w:val="auto"/>
                <w:spacing w:val="0"/>
                <w:kern w:val="0"/>
                <w:sz w:val="24"/>
                <w:szCs w:val="24"/>
                <w:highlight w:val="none"/>
              </w:rPr>
              <w:t>承诺达标合格证</w:t>
            </w:r>
            <w:r>
              <w:rPr>
                <w:rFonts w:hint="eastAsia" w:ascii="仿宋_GB2312" w:hAnsi="仿宋_GB2312" w:eastAsia="仿宋_GB2312" w:cs="仿宋_GB2312"/>
                <w:snapToGrid w:val="0"/>
                <w:color w:val="auto"/>
                <w:spacing w:val="0"/>
                <w:kern w:val="0"/>
                <w:sz w:val="24"/>
                <w:szCs w:val="24"/>
                <w:highlight w:val="none"/>
                <w:lang w:eastAsia="zh-CN"/>
              </w:rPr>
              <w:t>、</w:t>
            </w:r>
            <w:r>
              <w:rPr>
                <w:rFonts w:hint="eastAsia" w:ascii="仿宋_GB2312" w:hAnsi="仿宋_GB2312" w:eastAsia="仿宋_GB2312" w:cs="仿宋_GB2312"/>
                <w:snapToGrid w:val="0"/>
                <w:color w:val="auto"/>
                <w:spacing w:val="0"/>
                <w:kern w:val="0"/>
                <w:sz w:val="24"/>
                <w:szCs w:val="24"/>
                <w:highlight w:val="none"/>
              </w:rPr>
              <w:t>追溯凭证等产品质量合格凭证</w:t>
            </w:r>
            <w:r>
              <w:rPr>
                <w:rFonts w:hint="eastAsia" w:ascii="仿宋_GB2312" w:hAnsi="仿宋_GB2312" w:eastAsia="仿宋_GB2312" w:cs="仿宋_GB2312"/>
                <w:snapToGrid w:val="0"/>
                <w:color w:val="auto"/>
                <w:spacing w:val="0"/>
                <w:kern w:val="0"/>
                <w:sz w:val="24"/>
                <w:szCs w:val="24"/>
                <w:highlight w:val="none"/>
                <w:lang w:eastAsia="zh-CN"/>
              </w:rPr>
              <w:t>，</w:t>
            </w:r>
            <w:r>
              <w:rPr>
                <w:rFonts w:hint="eastAsia" w:ascii="仿宋_GB2312" w:hAnsi="仿宋_GB2312" w:eastAsia="仿宋_GB2312" w:cs="仿宋_GB2312"/>
                <w:snapToGrid w:val="0"/>
                <w:color w:val="auto"/>
                <w:spacing w:val="0"/>
                <w:kern w:val="0"/>
                <w:sz w:val="24"/>
                <w:szCs w:val="24"/>
                <w:highlight w:val="none"/>
                <w:lang w:val="en-US" w:eastAsia="zh-CN"/>
              </w:rPr>
              <w:t>督促入场销售者录入或者确认追溯信息。</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rPr>
            </w:pPr>
            <w:r>
              <w:rPr>
                <w:rFonts w:hint="eastAsia" w:ascii="仿宋_GB2312" w:hAnsi="仿宋_GB2312" w:eastAsia="仿宋_GB2312" w:cs="仿宋_GB2312"/>
                <w:snapToGrid w:val="0"/>
                <w:color w:val="auto"/>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eastAsia="zh-CN"/>
              </w:rPr>
            </w:pPr>
            <w:r>
              <w:rPr>
                <w:rFonts w:hint="eastAsia" w:ascii="仿宋_GB2312" w:hAnsi="仿宋_GB2312" w:eastAsia="仿宋_GB2312" w:cs="仿宋_GB2312"/>
                <w:snapToGrid w:val="0"/>
                <w:color w:val="auto"/>
                <w:spacing w:val="0"/>
                <w:kern w:val="0"/>
                <w:sz w:val="24"/>
                <w:szCs w:val="24"/>
                <w:highlight w:val="none"/>
                <w:lang w:val="en-US" w:eastAsia="zh-CN"/>
              </w:rPr>
              <w:t>2</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highlight w:val="none"/>
                <w:lang w:val="en-US" w:eastAsia="zh-CN"/>
              </w:rPr>
            </w:pPr>
            <w:r>
              <w:rPr>
                <w:rFonts w:hint="eastAsia" w:ascii="仿宋_GB2312" w:hAnsi="仿宋_GB2312" w:eastAsia="仿宋_GB2312" w:cs="仿宋_GB2312"/>
                <w:snapToGrid w:val="0"/>
                <w:color w:val="auto"/>
                <w:spacing w:val="0"/>
                <w:kern w:val="0"/>
                <w:sz w:val="24"/>
                <w:szCs w:val="24"/>
                <w:highlight w:val="none"/>
                <w:lang w:eastAsia="zh-CN"/>
              </w:rPr>
              <w:t>*</w:t>
            </w:r>
            <w:r>
              <w:rPr>
                <w:rFonts w:hint="eastAsia" w:ascii="仿宋_GB2312" w:hAnsi="仿宋_GB2312" w:eastAsia="仿宋_GB2312" w:cs="仿宋_GB2312"/>
                <w:snapToGrid w:val="0"/>
                <w:color w:val="auto"/>
                <w:spacing w:val="0"/>
                <w:kern w:val="0"/>
                <w:sz w:val="24"/>
                <w:szCs w:val="24"/>
                <w:highlight w:val="none"/>
                <w:lang w:val="en-US" w:eastAsia="zh-CN"/>
              </w:rPr>
              <w:t>7</w:t>
            </w:r>
            <w:r>
              <w:rPr>
                <w:rFonts w:hint="eastAsia" w:ascii="仿宋_GB2312" w:hAnsi="仿宋_GB2312" w:eastAsia="仿宋_GB2312" w:cs="仿宋_GB2312"/>
                <w:snapToGrid w:val="0"/>
                <w:color w:val="auto"/>
                <w:spacing w:val="0"/>
                <w:kern w:val="0"/>
                <w:sz w:val="24"/>
                <w:szCs w:val="24"/>
                <w:highlight w:val="none"/>
              </w:rPr>
              <w:t>.</w:t>
            </w:r>
            <w:r>
              <w:rPr>
                <w:rFonts w:hint="eastAsia" w:ascii="仿宋_GB2312" w:hAnsi="仿宋_GB2312" w:eastAsia="仿宋_GB2312" w:cs="仿宋_GB2312"/>
                <w:snapToGrid w:val="0"/>
                <w:color w:val="auto"/>
                <w:spacing w:val="0"/>
                <w:kern w:val="0"/>
                <w:sz w:val="24"/>
                <w:szCs w:val="24"/>
                <w:highlight w:val="none"/>
                <w:lang w:val="en-US" w:eastAsia="zh-CN"/>
              </w:rPr>
              <w:t>2</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eastAsia="zh-CN"/>
              </w:rPr>
            </w:pPr>
            <w:r>
              <w:rPr>
                <w:rFonts w:hint="eastAsia" w:ascii="仿宋_GB2312" w:hAnsi="仿宋_GB2312" w:eastAsia="仿宋_GB2312" w:cs="仿宋_GB2312"/>
                <w:snapToGrid w:val="0"/>
                <w:color w:val="auto"/>
                <w:spacing w:val="0"/>
                <w:kern w:val="0"/>
                <w:sz w:val="24"/>
                <w:szCs w:val="24"/>
                <w:highlight w:val="none"/>
                <w:lang w:eastAsia="zh-CN"/>
              </w:rPr>
              <w:t>无法提供进货凭证或追溯凭证的食用农产品，不得进入市场销售。</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rPr>
            </w:pPr>
            <w:r>
              <w:rPr>
                <w:rFonts w:hint="eastAsia" w:ascii="仿宋_GB2312" w:hAnsi="仿宋_GB2312" w:eastAsia="仿宋_GB2312" w:cs="仿宋_GB2312"/>
                <w:snapToGrid w:val="0"/>
                <w:color w:val="auto"/>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r>
              <w:rPr>
                <w:rFonts w:hint="eastAsia" w:ascii="仿宋_GB2312" w:hAnsi="仿宋_GB2312" w:eastAsia="仿宋_GB2312" w:cs="仿宋_GB2312"/>
                <w:snapToGrid w:val="0"/>
                <w:color w:val="auto"/>
                <w:spacing w:val="0"/>
                <w:kern w:val="0"/>
                <w:sz w:val="24"/>
                <w:szCs w:val="24"/>
                <w:highlight w:val="none"/>
                <w:lang w:val="en-US" w:eastAsia="zh-CN"/>
              </w:rPr>
              <w:t>2</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highlight w:val="none"/>
                <w:lang w:val="en-US" w:eastAsia="zh-CN"/>
              </w:rPr>
            </w:pPr>
            <w:r>
              <w:rPr>
                <w:rFonts w:hint="eastAsia" w:ascii="仿宋_GB2312" w:hAnsi="仿宋_GB2312" w:eastAsia="仿宋_GB2312" w:cs="仿宋_GB2312"/>
                <w:snapToGrid w:val="0"/>
                <w:color w:val="auto"/>
                <w:spacing w:val="0"/>
                <w:kern w:val="0"/>
                <w:sz w:val="24"/>
                <w:szCs w:val="24"/>
                <w:highlight w:val="none"/>
                <w:lang w:eastAsia="zh-CN"/>
              </w:rPr>
              <w:t>*</w:t>
            </w:r>
            <w:r>
              <w:rPr>
                <w:rFonts w:hint="eastAsia" w:ascii="仿宋_GB2312" w:hAnsi="仿宋_GB2312" w:eastAsia="仿宋_GB2312" w:cs="仿宋_GB2312"/>
                <w:snapToGrid w:val="0"/>
                <w:color w:val="auto"/>
                <w:spacing w:val="0"/>
                <w:kern w:val="0"/>
                <w:sz w:val="24"/>
                <w:szCs w:val="24"/>
                <w:highlight w:val="none"/>
                <w:lang w:val="en-US" w:eastAsia="zh-CN"/>
              </w:rPr>
              <w:t>7</w:t>
            </w:r>
            <w:r>
              <w:rPr>
                <w:rFonts w:hint="eastAsia" w:ascii="仿宋_GB2312" w:hAnsi="仿宋_GB2312" w:eastAsia="仿宋_GB2312" w:cs="仿宋_GB2312"/>
                <w:snapToGrid w:val="0"/>
                <w:color w:val="auto"/>
                <w:spacing w:val="0"/>
                <w:kern w:val="0"/>
                <w:sz w:val="24"/>
                <w:szCs w:val="24"/>
                <w:highlight w:val="none"/>
              </w:rPr>
              <w:t>.</w:t>
            </w:r>
            <w:r>
              <w:rPr>
                <w:rFonts w:hint="eastAsia" w:ascii="仿宋_GB2312" w:hAnsi="仿宋_GB2312" w:eastAsia="仿宋_GB2312" w:cs="仿宋_GB2312"/>
                <w:snapToGrid w:val="0"/>
                <w:color w:val="auto"/>
                <w:spacing w:val="0"/>
                <w:kern w:val="0"/>
                <w:sz w:val="24"/>
                <w:szCs w:val="24"/>
                <w:highlight w:val="none"/>
                <w:lang w:val="en-US" w:eastAsia="zh-CN"/>
              </w:rPr>
              <w:t>3</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rPr>
            </w:pPr>
            <w:r>
              <w:rPr>
                <w:rFonts w:hint="eastAsia" w:ascii="仿宋_GB2312" w:hAnsi="仿宋_GB2312" w:eastAsia="仿宋_GB2312" w:cs="仿宋_GB2312"/>
                <w:snapToGrid w:val="0"/>
                <w:color w:val="auto"/>
                <w:spacing w:val="0"/>
                <w:kern w:val="0"/>
                <w:sz w:val="24"/>
                <w:szCs w:val="24"/>
                <w:highlight w:val="none"/>
                <w:lang w:eastAsia="zh-CN"/>
              </w:rPr>
              <w:t>对无法提供承诺达标合格证、</w:t>
            </w:r>
            <w:r>
              <w:rPr>
                <w:rFonts w:hint="eastAsia" w:ascii="仿宋_GB2312" w:hAnsi="仿宋_GB2312" w:eastAsia="仿宋_GB2312" w:cs="仿宋_GB2312"/>
                <w:snapToGrid w:val="0"/>
                <w:color w:val="auto"/>
                <w:spacing w:val="0"/>
                <w:kern w:val="0"/>
                <w:sz w:val="24"/>
                <w:szCs w:val="24"/>
                <w:highlight w:val="none"/>
              </w:rPr>
              <w:t>追溯凭证</w:t>
            </w:r>
            <w:r>
              <w:rPr>
                <w:rFonts w:hint="eastAsia" w:ascii="仿宋_GB2312" w:hAnsi="仿宋_GB2312" w:eastAsia="仿宋_GB2312" w:cs="仿宋_GB2312"/>
                <w:snapToGrid w:val="0"/>
                <w:color w:val="auto"/>
                <w:spacing w:val="0"/>
                <w:kern w:val="0"/>
                <w:sz w:val="24"/>
                <w:szCs w:val="24"/>
                <w:highlight w:val="none"/>
                <w:lang w:val="en-US" w:eastAsia="zh-CN"/>
              </w:rPr>
              <w:t>等</w:t>
            </w:r>
            <w:r>
              <w:rPr>
                <w:rFonts w:hint="eastAsia" w:ascii="仿宋_GB2312" w:hAnsi="仿宋_GB2312" w:eastAsia="仿宋_GB2312" w:cs="仿宋_GB2312"/>
                <w:snapToGrid w:val="0"/>
                <w:color w:val="auto"/>
                <w:spacing w:val="0"/>
                <w:kern w:val="0"/>
                <w:sz w:val="24"/>
                <w:szCs w:val="24"/>
                <w:highlight w:val="none"/>
                <w:lang w:eastAsia="zh-CN"/>
              </w:rPr>
              <w:t>产品质量合格凭证的</w:t>
            </w:r>
            <w:r>
              <w:rPr>
                <w:rFonts w:hint="eastAsia" w:ascii="仿宋_GB2312" w:hAnsi="仿宋_GB2312" w:eastAsia="仿宋_GB2312" w:cs="仿宋_GB2312"/>
                <w:snapToGrid w:val="0"/>
                <w:color w:val="auto"/>
                <w:spacing w:val="0"/>
                <w:kern w:val="0"/>
                <w:sz w:val="24"/>
                <w:szCs w:val="24"/>
                <w:highlight w:val="none"/>
              </w:rPr>
              <w:t>，进行快速检测或抽样检验，</w:t>
            </w:r>
            <w:r>
              <w:rPr>
                <w:rFonts w:hint="eastAsia" w:ascii="仿宋_GB2312" w:hAnsi="仿宋_GB2312" w:eastAsia="仿宋_GB2312" w:cs="仿宋_GB2312"/>
                <w:snapToGrid w:val="0"/>
                <w:color w:val="auto"/>
                <w:spacing w:val="0"/>
                <w:kern w:val="0"/>
                <w:sz w:val="24"/>
                <w:szCs w:val="24"/>
                <w:highlight w:val="none"/>
                <w:lang w:eastAsia="zh-CN"/>
              </w:rPr>
              <w:t>禁止</w:t>
            </w:r>
            <w:r>
              <w:rPr>
                <w:rFonts w:hint="eastAsia" w:ascii="仿宋_GB2312" w:hAnsi="仿宋_GB2312" w:eastAsia="仿宋_GB2312" w:cs="仿宋_GB2312"/>
                <w:snapToGrid w:val="0"/>
                <w:color w:val="auto"/>
                <w:spacing w:val="0"/>
                <w:kern w:val="0"/>
                <w:sz w:val="24"/>
                <w:szCs w:val="24"/>
                <w:highlight w:val="none"/>
              </w:rPr>
              <w:t>检测不合格的食用农产品入</w:t>
            </w:r>
            <w:r>
              <w:rPr>
                <w:rFonts w:hint="eastAsia" w:ascii="仿宋_GB2312" w:hAnsi="仿宋_GB2312" w:eastAsia="仿宋_GB2312" w:cs="仿宋_GB2312"/>
                <w:snapToGrid w:val="0"/>
                <w:color w:val="auto"/>
                <w:spacing w:val="0"/>
                <w:kern w:val="0"/>
                <w:sz w:val="24"/>
                <w:szCs w:val="24"/>
                <w:highlight w:val="none"/>
                <w:lang w:eastAsia="zh-CN"/>
              </w:rPr>
              <w:t>场</w:t>
            </w:r>
            <w:r>
              <w:rPr>
                <w:rFonts w:hint="eastAsia" w:ascii="仿宋_GB2312" w:hAnsi="仿宋_GB2312" w:eastAsia="仿宋_GB2312" w:cs="仿宋_GB2312"/>
                <w:snapToGrid w:val="0"/>
                <w:color w:val="auto"/>
                <w:spacing w:val="0"/>
                <w:kern w:val="0"/>
                <w:sz w:val="24"/>
                <w:szCs w:val="24"/>
                <w:highlight w:val="none"/>
                <w:lang w:val="en-US" w:eastAsia="zh-CN"/>
              </w:rPr>
              <w:t>销售</w:t>
            </w:r>
            <w:r>
              <w:rPr>
                <w:rFonts w:hint="eastAsia" w:ascii="仿宋_GB2312" w:hAnsi="仿宋_GB2312" w:eastAsia="仿宋_GB2312" w:cs="仿宋_GB2312"/>
                <w:snapToGrid w:val="0"/>
                <w:color w:val="auto"/>
                <w:spacing w:val="0"/>
                <w:kern w:val="0"/>
                <w:sz w:val="24"/>
                <w:szCs w:val="24"/>
                <w:highlight w:val="none"/>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rPr>
            </w:pPr>
            <w:r>
              <w:rPr>
                <w:rFonts w:hint="eastAsia" w:ascii="仿宋_GB2312" w:hAnsi="仿宋_GB2312" w:eastAsia="仿宋_GB2312" w:cs="仿宋_GB2312"/>
                <w:snapToGrid w:val="0"/>
                <w:color w:val="auto"/>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eastAsia="zh-CN"/>
              </w:rPr>
            </w:pPr>
            <w:r>
              <w:rPr>
                <w:rFonts w:hint="eastAsia" w:ascii="仿宋_GB2312" w:hAnsi="仿宋_GB2312" w:eastAsia="仿宋_GB2312" w:cs="仿宋_GB2312"/>
                <w:snapToGrid w:val="0"/>
                <w:color w:val="auto"/>
                <w:spacing w:val="0"/>
                <w:kern w:val="0"/>
                <w:sz w:val="24"/>
                <w:szCs w:val="24"/>
                <w:highlight w:val="none"/>
                <w:lang w:val="en-US" w:eastAsia="zh-CN"/>
              </w:rPr>
              <w:t>2</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7"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highlight w:val="none"/>
                <w:lang w:val="en-US" w:eastAsia="zh-CN"/>
              </w:rPr>
            </w:pPr>
            <w:r>
              <w:rPr>
                <w:rFonts w:hint="eastAsia" w:ascii="仿宋_GB2312" w:hAnsi="仿宋_GB2312" w:eastAsia="仿宋_GB2312" w:cs="仿宋_GB2312"/>
                <w:snapToGrid w:val="0"/>
                <w:color w:val="auto"/>
                <w:spacing w:val="0"/>
                <w:kern w:val="0"/>
                <w:sz w:val="24"/>
                <w:szCs w:val="24"/>
                <w:highlight w:val="none"/>
                <w:lang w:eastAsia="zh-CN"/>
              </w:rPr>
              <w:t>*</w:t>
            </w:r>
            <w:r>
              <w:rPr>
                <w:rFonts w:hint="eastAsia" w:ascii="仿宋_GB2312" w:hAnsi="仿宋_GB2312" w:eastAsia="仿宋_GB2312" w:cs="仿宋_GB2312"/>
                <w:snapToGrid w:val="0"/>
                <w:color w:val="auto"/>
                <w:spacing w:val="0"/>
                <w:kern w:val="0"/>
                <w:sz w:val="24"/>
                <w:szCs w:val="24"/>
                <w:highlight w:val="none"/>
                <w:lang w:val="en-US" w:eastAsia="zh-CN"/>
              </w:rPr>
              <w:t>7</w:t>
            </w:r>
            <w:r>
              <w:rPr>
                <w:rFonts w:hint="eastAsia" w:ascii="仿宋_GB2312" w:hAnsi="仿宋_GB2312" w:eastAsia="仿宋_GB2312" w:cs="仿宋_GB2312"/>
                <w:snapToGrid w:val="0"/>
                <w:color w:val="auto"/>
                <w:spacing w:val="0"/>
                <w:kern w:val="0"/>
                <w:sz w:val="24"/>
                <w:szCs w:val="24"/>
                <w:highlight w:val="none"/>
              </w:rPr>
              <w:t>.</w:t>
            </w:r>
            <w:r>
              <w:rPr>
                <w:rFonts w:hint="eastAsia" w:ascii="仿宋_GB2312" w:hAnsi="仿宋_GB2312" w:eastAsia="仿宋_GB2312" w:cs="仿宋_GB2312"/>
                <w:snapToGrid w:val="0"/>
                <w:color w:val="auto"/>
                <w:spacing w:val="0"/>
                <w:kern w:val="0"/>
                <w:sz w:val="24"/>
                <w:szCs w:val="24"/>
                <w:highlight w:val="none"/>
                <w:lang w:val="en-US" w:eastAsia="zh-CN"/>
              </w:rPr>
              <w:t>4</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rPr>
            </w:pPr>
            <w:r>
              <w:rPr>
                <w:rFonts w:hint="eastAsia" w:ascii="仿宋_GB2312" w:hAnsi="仿宋_GB2312" w:eastAsia="仿宋_GB2312" w:cs="仿宋_GB2312"/>
                <w:snapToGrid w:val="0"/>
                <w:color w:val="auto"/>
                <w:spacing w:val="0"/>
                <w:kern w:val="0"/>
                <w:sz w:val="24"/>
                <w:szCs w:val="24"/>
                <w:highlight w:val="none"/>
              </w:rPr>
              <w:t>建立检查制度，检查销售者的经营环境和条件及其销售的</w:t>
            </w:r>
            <w:r>
              <w:rPr>
                <w:rFonts w:hint="eastAsia" w:ascii="仿宋_GB2312" w:hAnsi="仿宋_GB2312" w:eastAsia="仿宋_GB2312" w:cs="仿宋_GB2312"/>
                <w:snapToGrid w:val="0"/>
                <w:color w:val="auto"/>
                <w:spacing w:val="0"/>
                <w:kern w:val="0"/>
                <w:sz w:val="24"/>
                <w:szCs w:val="24"/>
                <w:highlight w:val="none"/>
                <w:lang w:eastAsia="zh-CN"/>
              </w:rPr>
              <w:t>食品和</w:t>
            </w:r>
            <w:r>
              <w:rPr>
                <w:rFonts w:hint="eastAsia" w:ascii="仿宋_GB2312" w:hAnsi="仿宋_GB2312" w:eastAsia="仿宋_GB2312" w:cs="仿宋_GB2312"/>
                <w:snapToGrid w:val="0"/>
                <w:color w:val="auto"/>
                <w:spacing w:val="0"/>
                <w:kern w:val="0"/>
                <w:sz w:val="24"/>
                <w:szCs w:val="24"/>
                <w:highlight w:val="none"/>
              </w:rPr>
              <w:t>食用农产品</w:t>
            </w:r>
            <w:r>
              <w:rPr>
                <w:rFonts w:hint="eastAsia" w:ascii="仿宋_GB2312" w:hAnsi="仿宋_GB2312" w:eastAsia="仿宋_GB2312" w:cs="仿宋_GB2312"/>
                <w:snapToGrid w:val="0"/>
                <w:color w:val="auto"/>
                <w:spacing w:val="0"/>
                <w:kern w:val="0"/>
                <w:sz w:val="24"/>
                <w:szCs w:val="24"/>
                <w:highlight w:val="none"/>
                <w:lang w:eastAsia="zh-CN"/>
              </w:rPr>
              <w:t>是否符合规定</w:t>
            </w:r>
            <w:r>
              <w:rPr>
                <w:rFonts w:hint="eastAsia" w:ascii="仿宋_GB2312" w:hAnsi="仿宋_GB2312" w:eastAsia="仿宋_GB2312" w:cs="仿宋_GB2312"/>
                <w:snapToGrid w:val="0"/>
                <w:color w:val="auto"/>
                <w:spacing w:val="0"/>
                <w:kern w:val="0"/>
                <w:sz w:val="24"/>
                <w:szCs w:val="24"/>
                <w:highlight w:val="none"/>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rPr>
            </w:pPr>
            <w:r>
              <w:rPr>
                <w:rFonts w:hint="eastAsia" w:ascii="仿宋_GB2312" w:hAnsi="仿宋_GB2312" w:eastAsia="仿宋_GB2312" w:cs="仿宋_GB2312"/>
                <w:snapToGrid w:val="0"/>
                <w:color w:val="auto"/>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eastAsia="zh-CN"/>
              </w:rPr>
            </w:pPr>
            <w:r>
              <w:rPr>
                <w:rFonts w:hint="eastAsia" w:ascii="仿宋_GB2312" w:hAnsi="仿宋_GB2312" w:eastAsia="仿宋_GB2312" w:cs="仿宋_GB2312"/>
                <w:snapToGrid w:val="0"/>
                <w:color w:val="auto"/>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1"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auto"/>
                <w:spacing w:val="0"/>
                <w:kern w:val="0"/>
                <w:sz w:val="24"/>
                <w:szCs w:val="24"/>
                <w:highlight w:val="none"/>
                <w:lang w:val="en-US" w:eastAsia="zh-CN"/>
              </w:rPr>
            </w:pPr>
            <w:r>
              <w:rPr>
                <w:rFonts w:hint="eastAsia" w:ascii="仿宋_GB2312" w:hAnsi="仿宋_GB2312" w:eastAsia="仿宋_GB2312" w:cs="仿宋_GB2312"/>
                <w:snapToGrid w:val="0"/>
                <w:color w:val="auto"/>
                <w:spacing w:val="0"/>
                <w:kern w:val="0"/>
                <w:sz w:val="24"/>
                <w:szCs w:val="24"/>
                <w:highlight w:val="none"/>
                <w:lang w:eastAsia="zh-CN"/>
              </w:rPr>
              <w:t>*</w:t>
            </w:r>
            <w:r>
              <w:rPr>
                <w:rFonts w:hint="eastAsia" w:ascii="仿宋_GB2312" w:hAnsi="仿宋_GB2312" w:eastAsia="仿宋_GB2312" w:cs="仿宋_GB2312"/>
                <w:snapToGrid w:val="0"/>
                <w:color w:val="auto"/>
                <w:spacing w:val="0"/>
                <w:kern w:val="0"/>
                <w:sz w:val="24"/>
                <w:szCs w:val="24"/>
                <w:highlight w:val="none"/>
                <w:lang w:val="en-US" w:eastAsia="zh-CN"/>
              </w:rPr>
              <w:t>7</w:t>
            </w:r>
            <w:r>
              <w:rPr>
                <w:rFonts w:hint="eastAsia" w:ascii="仿宋_GB2312" w:hAnsi="仿宋_GB2312" w:eastAsia="仿宋_GB2312" w:cs="仿宋_GB2312"/>
                <w:snapToGrid w:val="0"/>
                <w:color w:val="auto"/>
                <w:spacing w:val="0"/>
                <w:kern w:val="0"/>
                <w:sz w:val="24"/>
                <w:szCs w:val="24"/>
                <w:highlight w:val="none"/>
              </w:rPr>
              <w:t>.</w:t>
            </w:r>
            <w:r>
              <w:rPr>
                <w:rFonts w:hint="eastAsia" w:ascii="仿宋_GB2312" w:hAnsi="仿宋_GB2312" w:eastAsia="仿宋_GB2312" w:cs="仿宋_GB2312"/>
                <w:snapToGrid w:val="0"/>
                <w:color w:val="auto"/>
                <w:spacing w:val="0"/>
                <w:kern w:val="0"/>
                <w:sz w:val="24"/>
                <w:szCs w:val="24"/>
                <w:highlight w:val="none"/>
                <w:lang w:val="en-US" w:eastAsia="zh-CN"/>
              </w:rPr>
              <w:t>5</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eastAsia="zh-CN"/>
              </w:rPr>
            </w:pPr>
            <w:r>
              <w:rPr>
                <w:rFonts w:hint="eastAsia" w:ascii="仿宋_GB2312" w:hAnsi="仿宋_GB2312" w:eastAsia="仿宋_GB2312" w:cs="仿宋_GB2312"/>
                <w:snapToGrid w:val="0"/>
                <w:color w:val="auto"/>
                <w:spacing w:val="0"/>
                <w:kern w:val="0"/>
                <w:sz w:val="24"/>
                <w:szCs w:val="24"/>
                <w:highlight w:val="none"/>
              </w:rPr>
              <w:t>对发现的不符合</w:t>
            </w:r>
            <w:r>
              <w:rPr>
                <w:rFonts w:hint="eastAsia" w:ascii="仿宋_GB2312" w:hAnsi="仿宋_GB2312" w:eastAsia="仿宋_GB2312" w:cs="仿宋_GB2312"/>
                <w:snapToGrid w:val="0"/>
                <w:color w:val="auto"/>
                <w:spacing w:val="0"/>
                <w:kern w:val="0"/>
                <w:sz w:val="24"/>
                <w:szCs w:val="24"/>
                <w:highlight w:val="none"/>
                <w:lang w:eastAsia="zh-CN"/>
              </w:rPr>
              <w:t>食用农产品</w:t>
            </w:r>
            <w:r>
              <w:rPr>
                <w:rFonts w:hint="eastAsia" w:ascii="仿宋_GB2312" w:hAnsi="仿宋_GB2312" w:eastAsia="仿宋_GB2312" w:cs="仿宋_GB2312"/>
                <w:snapToGrid w:val="0"/>
                <w:color w:val="auto"/>
                <w:spacing w:val="0"/>
                <w:kern w:val="0"/>
                <w:sz w:val="24"/>
                <w:szCs w:val="24"/>
                <w:highlight w:val="none"/>
              </w:rPr>
              <w:t>安全标准</w:t>
            </w:r>
            <w:r>
              <w:rPr>
                <w:rFonts w:hint="eastAsia" w:ascii="仿宋_GB2312" w:hAnsi="仿宋_GB2312" w:eastAsia="仿宋_GB2312" w:cs="仿宋_GB2312"/>
                <w:snapToGrid w:val="0"/>
                <w:color w:val="auto"/>
                <w:spacing w:val="0"/>
                <w:kern w:val="0"/>
                <w:sz w:val="24"/>
                <w:szCs w:val="24"/>
                <w:highlight w:val="none"/>
                <w:lang w:eastAsia="zh-CN"/>
              </w:rPr>
              <w:t>的</w:t>
            </w:r>
            <w:r>
              <w:rPr>
                <w:rFonts w:hint="eastAsia" w:ascii="仿宋_GB2312" w:hAnsi="仿宋_GB2312" w:eastAsia="仿宋_GB2312" w:cs="仿宋_GB2312"/>
                <w:snapToGrid w:val="0"/>
                <w:color w:val="auto"/>
                <w:spacing w:val="0"/>
                <w:kern w:val="0"/>
                <w:sz w:val="24"/>
                <w:szCs w:val="24"/>
                <w:highlight w:val="none"/>
              </w:rPr>
              <w:t>，要求入场销售者立即停止销售，依照规定或者协议进行</w:t>
            </w:r>
            <w:r>
              <w:rPr>
                <w:rFonts w:hint="eastAsia" w:ascii="仿宋_GB2312" w:hAnsi="仿宋_GB2312" w:eastAsia="仿宋_GB2312" w:cs="仿宋_GB2312"/>
                <w:snapToGrid w:val="0"/>
                <w:color w:val="auto"/>
                <w:spacing w:val="0"/>
                <w:kern w:val="0"/>
                <w:sz w:val="24"/>
                <w:szCs w:val="24"/>
                <w:highlight w:val="none"/>
                <w:lang w:val="en-US" w:eastAsia="zh-CN"/>
              </w:rPr>
              <w:t>销毁或者无害化</w:t>
            </w:r>
            <w:r>
              <w:rPr>
                <w:rFonts w:hint="eastAsia" w:ascii="仿宋_GB2312" w:hAnsi="仿宋_GB2312" w:eastAsia="仿宋_GB2312" w:cs="仿宋_GB2312"/>
                <w:snapToGrid w:val="0"/>
                <w:color w:val="auto"/>
                <w:spacing w:val="0"/>
                <w:kern w:val="0"/>
                <w:sz w:val="24"/>
                <w:szCs w:val="24"/>
                <w:highlight w:val="none"/>
              </w:rPr>
              <w:t>处理，如实记录不合格食用农产品数量、产地、销售者、销毁方式等内容，留存不合格食用农产品销毁影像信息，并向所在地县级</w:t>
            </w:r>
            <w:r>
              <w:rPr>
                <w:rFonts w:hint="eastAsia" w:ascii="仿宋_GB2312" w:hAnsi="仿宋_GB2312" w:eastAsia="仿宋_GB2312" w:cs="仿宋_GB2312"/>
                <w:snapToGrid w:val="0"/>
                <w:color w:val="auto"/>
                <w:spacing w:val="0"/>
                <w:kern w:val="0"/>
                <w:sz w:val="24"/>
                <w:szCs w:val="24"/>
                <w:highlight w:val="none"/>
                <w:lang w:eastAsia="zh-CN"/>
              </w:rPr>
              <w:t>市场监管</w:t>
            </w:r>
            <w:r>
              <w:rPr>
                <w:rFonts w:hint="eastAsia" w:ascii="仿宋_GB2312" w:hAnsi="仿宋_GB2312" w:eastAsia="仿宋_GB2312" w:cs="仿宋_GB2312"/>
                <w:snapToGrid w:val="0"/>
                <w:color w:val="auto"/>
                <w:spacing w:val="0"/>
                <w:kern w:val="0"/>
                <w:sz w:val="24"/>
                <w:szCs w:val="24"/>
                <w:highlight w:val="none"/>
              </w:rPr>
              <w:t>部门报告</w:t>
            </w:r>
            <w:r>
              <w:rPr>
                <w:rFonts w:hint="eastAsia" w:ascii="仿宋_GB2312" w:hAnsi="仿宋_GB2312" w:eastAsia="仿宋_GB2312" w:cs="仿宋_GB2312"/>
                <w:snapToGrid w:val="0"/>
                <w:color w:val="auto"/>
                <w:spacing w:val="0"/>
                <w:kern w:val="0"/>
                <w:sz w:val="24"/>
                <w:szCs w:val="24"/>
                <w:highlight w:val="none"/>
                <w:lang w:eastAsia="zh-CN"/>
              </w:rPr>
              <w:t>。记录保存期限不少于销售者停止销售后六个月。</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rPr>
            </w:pPr>
            <w:r>
              <w:rPr>
                <w:rFonts w:hint="eastAsia" w:ascii="仿宋_GB2312" w:hAnsi="仿宋_GB2312" w:eastAsia="仿宋_GB2312" w:cs="仿宋_GB2312"/>
                <w:snapToGrid w:val="0"/>
                <w:color w:val="auto"/>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eastAsia="zh-CN"/>
              </w:rPr>
            </w:pPr>
            <w:r>
              <w:rPr>
                <w:rFonts w:hint="eastAsia" w:ascii="仿宋_GB2312" w:hAnsi="仿宋_GB2312" w:eastAsia="仿宋_GB2312" w:cs="仿宋_GB2312"/>
                <w:snapToGrid w:val="0"/>
                <w:color w:val="auto"/>
                <w:spacing w:val="0"/>
                <w:kern w:val="0"/>
                <w:sz w:val="24"/>
                <w:szCs w:val="24"/>
                <w:highlight w:val="none"/>
                <w:lang w:val="en-US" w:eastAsia="zh-CN"/>
              </w:rPr>
              <w:t>2</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auto"/>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7.6</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在市场醒目位置及时公布</w:t>
            </w:r>
            <w:r>
              <w:rPr>
                <w:rFonts w:hint="eastAsia" w:ascii="仿宋_GB2312" w:hAnsi="仿宋_GB2312" w:eastAsia="仿宋_GB2312" w:cs="仿宋_GB2312"/>
                <w:snapToGrid w:val="0"/>
                <w:color w:val="000000"/>
                <w:spacing w:val="0"/>
                <w:kern w:val="0"/>
                <w:sz w:val="24"/>
                <w:szCs w:val="24"/>
                <w:highlight w:val="none"/>
                <w:lang w:eastAsia="zh-CN"/>
              </w:rPr>
              <w:t>本市场</w:t>
            </w:r>
            <w:r>
              <w:rPr>
                <w:rFonts w:hint="eastAsia" w:ascii="仿宋_GB2312" w:hAnsi="仿宋_GB2312" w:eastAsia="仿宋_GB2312" w:cs="仿宋_GB2312"/>
                <w:snapToGrid w:val="0"/>
                <w:color w:val="000000"/>
                <w:spacing w:val="0"/>
                <w:kern w:val="0"/>
                <w:sz w:val="24"/>
                <w:szCs w:val="24"/>
                <w:highlight w:val="none"/>
              </w:rPr>
              <w:t>食品安全管理制度、食品安全管理人员、投诉举报电话</w:t>
            </w: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市场自查结果、食用农产品抽样检验信息</w:t>
            </w:r>
            <w:r>
              <w:rPr>
                <w:rFonts w:hint="eastAsia" w:ascii="仿宋_GB2312" w:hAnsi="仿宋_GB2312" w:eastAsia="仿宋_GB2312" w:cs="仿宋_GB2312"/>
                <w:snapToGrid w:val="0"/>
                <w:color w:val="000000"/>
                <w:spacing w:val="0"/>
                <w:kern w:val="0"/>
                <w:sz w:val="24"/>
                <w:szCs w:val="24"/>
                <w:highlight w:val="none"/>
              </w:rPr>
              <w:t>以及不合格食用农产品处理结果等信息。</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4173" w:type="dxa"/>
            <w:gridSpan w:val="7"/>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黑体" w:hAnsi="黑体" w:eastAsia="黑体" w:cs="黑体"/>
                <w:snapToGrid w:val="0"/>
                <w:color w:val="000000"/>
                <w:spacing w:val="0"/>
                <w:kern w:val="0"/>
                <w:sz w:val="24"/>
                <w:szCs w:val="24"/>
                <w:highlight w:val="none"/>
                <w:lang w:eastAsia="zh-CN"/>
              </w:rPr>
              <w:t>食用农产品批发市场开办者特有检查项目（6项14分）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7" w:hRule="atLeast"/>
          <w:jc w:val="center"/>
        </w:trPr>
        <w:tc>
          <w:tcPr>
            <w:tcW w:w="1595"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8.风险管理</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8</w:t>
            </w:r>
            <w:r>
              <w:rPr>
                <w:rFonts w:hint="eastAsia" w:ascii="仿宋_GB2312" w:hAnsi="仿宋_GB2312" w:eastAsia="仿宋_GB2312" w:cs="仿宋_GB2312"/>
                <w:snapToGrid w:val="0"/>
                <w:color w:val="000000"/>
                <w:spacing w:val="0"/>
                <w:kern w:val="0"/>
                <w:sz w:val="24"/>
                <w:szCs w:val="24"/>
                <w:highlight w:val="none"/>
              </w:rPr>
              <w:t>.1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配备食品安全员、食品安全总监，并结合实际制定《食品安全总监职责》和《食品安全员守则》。</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8</w:t>
            </w:r>
            <w:r>
              <w:rPr>
                <w:rFonts w:hint="eastAsia" w:ascii="仿宋_GB2312" w:hAnsi="仿宋_GB2312" w:eastAsia="仿宋_GB2312" w:cs="仿宋_GB2312"/>
                <w:snapToGrid w:val="0"/>
                <w:color w:val="000000"/>
                <w:spacing w:val="0"/>
                <w:kern w:val="0"/>
                <w:sz w:val="24"/>
                <w:szCs w:val="24"/>
                <w:highlight w:val="none"/>
              </w:rPr>
              <w:t>.</w:t>
            </w:r>
            <w:r>
              <w:rPr>
                <w:rFonts w:hint="eastAsia" w:ascii="仿宋_GB2312" w:hAnsi="仿宋_GB2312" w:eastAsia="仿宋_GB2312" w:cs="仿宋_GB2312"/>
                <w:snapToGrid w:val="0"/>
                <w:color w:val="000000"/>
                <w:spacing w:val="0"/>
                <w:kern w:val="0"/>
                <w:sz w:val="24"/>
                <w:szCs w:val="24"/>
                <w:highlight w:val="none"/>
                <w:lang w:val="en-US" w:eastAsia="zh-CN"/>
              </w:rPr>
              <w:t>2</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结合实际制定食品安全风险管控清单并动态更新。</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1A2029"/>
                <w:spacing w:val="0"/>
                <w:kern w:val="0"/>
                <w:sz w:val="24"/>
                <w:szCs w:val="24"/>
                <w:highlight w:val="none"/>
                <w:shd w:val="clear" w:color="auto" w:fill="FFFFFF"/>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7" w:hRule="atLeast"/>
          <w:jc w:val="center"/>
        </w:trPr>
        <w:tc>
          <w:tcPr>
            <w:tcW w:w="1595"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8</w:t>
            </w:r>
            <w:r>
              <w:rPr>
                <w:rFonts w:hint="eastAsia" w:ascii="仿宋_GB2312" w:hAnsi="仿宋_GB2312" w:eastAsia="仿宋_GB2312" w:cs="仿宋_GB2312"/>
                <w:snapToGrid w:val="0"/>
                <w:color w:val="000000"/>
                <w:spacing w:val="0"/>
                <w:kern w:val="0"/>
                <w:sz w:val="24"/>
                <w:szCs w:val="24"/>
                <w:highlight w:val="none"/>
              </w:rPr>
              <w:t>.</w:t>
            </w:r>
            <w:r>
              <w:rPr>
                <w:rFonts w:hint="eastAsia" w:ascii="仿宋_GB2312" w:hAnsi="仿宋_GB2312" w:eastAsia="仿宋_GB2312" w:cs="仿宋_GB2312"/>
                <w:snapToGrid w:val="0"/>
                <w:color w:val="000000"/>
                <w:spacing w:val="0"/>
                <w:kern w:val="0"/>
                <w:sz w:val="24"/>
                <w:szCs w:val="24"/>
                <w:highlight w:val="none"/>
                <w:lang w:val="en-US" w:eastAsia="zh-CN"/>
              </w:rPr>
              <w:t>3</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建立并落实日管控、周排查、月调度工作机制，并完整形成《每日食品安全检查记录》《每周食品安全排查治理报告》《每月食品安全调度会议纪要》。</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2" w:hRule="atLeast"/>
          <w:jc w:val="center"/>
        </w:trPr>
        <w:tc>
          <w:tcPr>
            <w:tcW w:w="159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9</w:t>
            </w:r>
            <w:r>
              <w:rPr>
                <w:rFonts w:hint="eastAsia" w:ascii="仿宋_GB2312" w:hAnsi="仿宋_GB2312" w:eastAsia="仿宋_GB2312" w:cs="仿宋_GB2312"/>
                <w:snapToGrid w:val="0"/>
                <w:color w:val="000000"/>
                <w:spacing w:val="0"/>
                <w:kern w:val="0"/>
                <w:sz w:val="24"/>
                <w:szCs w:val="24"/>
                <w:highlight w:val="none"/>
              </w:rPr>
              <w:t>.食用农产品质量检测</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9</w:t>
            </w:r>
            <w:r>
              <w:rPr>
                <w:rFonts w:hint="eastAsia" w:ascii="仿宋_GB2312" w:hAnsi="仿宋_GB2312" w:eastAsia="仿宋_GB2312" w:cs="仿宋_GB2312"/>
                <w:snapToGrid w:val="0"/>
                <w:color w:val="000000"/>
                <w:spacing w:val="0"/>
                <w:kern w:val="0"/>
                <w:sz w:val="24"/>
                <w:szCs w:val="24"/>
                <w:highlight w:val="none"/>
              </w:rPr>
              <w:t>.1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批发市场开办者配备检验设备和检验人员，或者委托具有资质的食品检验机构，开展食用农产品抽样检验或者快速检测。</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5</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1" w:hRule="atLeast"/>
          <w:jc w:val="center"/>
        </w:trPr>
        <w:tc>
          <w:tcPr>
            <w:tcW w:w="159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10</w:t>
            </w:r>
            <w:r>
              <w:rPr>
                <w:rFonts w:hint="eastAsia" w:ascii="仿宋_GB2312" w:hAnsi="仿宋_GB2312" w:eastAsia="仿宋_GB2312" w:cs="仿宋_GB2312"/>
                <w:snapToGrid w:val="0"/>
                <w:color w:val="000000"/>
                <w:spacing w:val="0"/>
                <w:kern w:val="0"/>
                <w:sz w:val="24"/>
                <w:szCs w:val="24"/>
                <w:highlight w:val="none"/>
              </w:rPr>
              <w:t>.销售凭证</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eastAsia="zh-CN"/>
              </w:rPr>
              <w:t>*</w:t>
            </w:r>
            <w:r>
              <w:rPr>
                <w:rFonts w:hint="eastAsia" w:ascii="仿宋_GB2312" w:hAnsi="仿宋_GB2312" w:eastAsia="仿宋_GB2312" w:cs="仿宋_GB2312"/>
                <w:snapToGrid w:val="0"/>
                <w:color w:val="000000"/>
                <w:spacing w:val="0"/>
                <w:kern w:val="0"/>
                <w:sz w:val="24"/>
                <w:szCs w:val="24"/>
                <w:highlight w:val="none"/>
                <w:lang w:val="en-US" w:eastAsia="zh-CN"/>
              </w:rPr>
              <w:t>10</w:t>
            </w:r>
            <w:r>
              <w:rPr>
                <w:rFonts w:hint="eastAsia" w:ascii="仿宋_GB2312" w:hAnsi="仿宋_GB2312" w:eastAsia="仿宋_GB2312" w:cs="仿宋_GB2312"/>
                <w:snapToGrid w:val="0"/>
                <w:color w:val="000000"/>
                <w:spacing w:val="0"/>
                <w:kern w:val="0"/>
                <w:sz w:val="24"/>
                <w:szCs w:val="24"/>
                <w:highlight w:val="none"/>
              </w:rPr>
              <w:t>.1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批发市场开办者印制统一格式的</w:t>
            </w:r>
            <w:r>
              <w:rPr>
                <w:rFonts w:hint="eastAsia" w:ascii="仿宋_GB2312" w:hAnsi="仿宋_GB2312" w:eastAsia="仿宋_GB2312" w:cs="仿宋_GB2312"/>
                <w:snapToGrid w:val="0"/>
                <w:color w:val="000000"/>
                <w:spacing w:val="0"/>
                <w:kern w:val="0"/>
                <w:sz w:val="24"/>
                <w:szCs w:val="24"/>
                <w:highlight w:val="none"/>
                <w:lang w:eastAsia="zh-CN"/>
              </w:rPr>
              <w:t>食用农产品</w:t>
            </w:r>
            <w:r>
              <w:rPr>
                <w:rFonts w:hint="eastAsia" w:ascii="仿宋_GB2312" w:hAnsi="仿宋_GB2312" w:eastAsia="仿宋_GB2312" w:cs="仿宋_GB2312"/>
                <w:snapToGrid w:val="0"/>
                <w:color w:val="000000"/>
                <w:spacing w:val="0"/>
                <w:kern w:val="0"/>
                <w:sz w:val="24"/>
                <w:szCs w:val="24"/>
                <w:highlight w:val="none"/>
              </w:rPr>
              <w:t>销售凭证</w:t>
            </w:r>
            <w:r>
              <w:rPr>
                <w:rFonts w:hint="eastAsia" w:ascii="仿宋_GB2312" w:hAnsi="仿宋_GB2312" w:eastAsia="仿宋_GB2312" w:cs="仿宋_GB2312"/>
                <w:snapToGrid w:val="0"/>
                <w:color w:val="000000"/>
                <w:spacing w:val="0"/>
                <w:kern w:val="0"/>
                <w:sz w:val="24"/>
                <w:szCs w:val="24"/>
                <w:highlight w:val="none"/>
                <w:lang w:val="en-US" w:eastAsia="zh-CN"/>
              </w:rPr>
              <w:t>或指导入场销售者自行印制符合项目信息的销售凭证</w:t>
            </w:r>
            <w:r>
              <w:rPr>
                <w:rFonts w:hint="eastAsia" w:ascii="仿宋_GB2312" w:hAnsi="仿宋_GB2312" w:eastAsia="仿宋_GB2312" w:cs="仿宋_GB2312"/>
                <w:snapToGrid w:val="0"/>
                <w:color w:val="000000"/>
                <w:spacing w:val="0"/>
                <w:kern w:val="0"/>
                <w:sz w:val="24"/>
                <w:szCs w:val="24"/>
                <w:highlight w:val="none"/>
                <w:lang w:eastAsia="zh-CN"/>
              </w:rPr>
              <w:t>并组织实施，或者建立实施信息追溯制度</w:t>
            </w:r>
            <w:r>
              <w:rPr>
                <w:rFonts w:hint="eastAsia" w:ascii="仿宋_GB2312" w:hAnsi="仿宋_GB2312" w:eastAsia="仿宋_GB2312" w:cs="仿宋_GB2312"/>
                <w:snapToGrid w:val="0"/>
                <w:color w:val="000000"/>
                <w:spacing w:val="0"/>
                <w:kern w:val="0"/>
                <w:sz w:val="24"/>
                <w:szCs w:val="24"/>
                <w:highlight w:val="none"/>
              </w:rPr>
              <w:t>。</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val="en-US" w:eastAsia="zh-CN"/>
              </w:rPr>
              <w:t>5</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1" w:hRule="atLeast"/>
          <w:jc w:val="center"/>
        </w:trPr>
        <w:tc>
          <w:tcPr>
            <w:tcW w:w="159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11</w:t>
            </w:r>
            <w:r>
              <w:rPr>
                <w:rFonts w:hint="eastAsia" w:ascii="仿宋_GB2312" w:hAnsi="仿宋_GB2312" w:eastAsia="仿宋_GB2312" w:cs="仿宋_GB2312"/>
                <w:snapToGrid w:val="0"/>
                <w:color w:val="000000"/>
                <w:spacing w:val="0"/>
                <w:kern w:val="0"/>
                <w:sz w:val="24"/>
                <w:szCs w:val="24"/>
                <w:highlight w:val="none"/>
              </w:rPr>
              <w:t>.实地考察</w:t>
            </w:r>
          </w:p>
        </w:tc>
        <w:tc>
          <w:tcPr>
            <w:tcW w:w="10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11</w:t>
            </w:r>
            <w:r>
              <w:rPr>
                <w:rFonts w:hint="eastAsia" w:ascii="仿宋_GB2312" w:hAnsi="仿宋_GB2312" w:eastAsia="仿宋_GB2312" w:cs="仿宋_GB2312"/>
                <w:snapToGrid w:val="0"/>
                <w:color w:val="000000"/>
                <w:spacing w:val="0"/>
                <w:kern w:val="0"/>
                <w:sz w:val="24"/>
                <w:szCs w:val="24"/>
                <w:highlight w:val="none"/>
              </w:rPr>
              <w:t>.1</w:t>
            </w:r>
          </w:p>
        </w:tc>
        <w:tc>
          <w:tcPr>
            <w:tcW w:w="7297"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与屠宰厂（场）、食用农产品种植养殖基地签订协议的</w:t>
            </w:r>
            <w:r>
              <w:rPr>
                <w:rFonts w:hint="eastAsia" w:ascii="仿宋_GB2312" w:hAnsi="仿宋_GB2312" w:eastAsia="仿宋_GB2312" w:cs="仿宋_GB2312"/>
                <w:snapToGrid w:val="0"/>
                <w:color w:val="000000"/>
                <w:spacing w:val="0"/>
                <w:kern w:val="0"/>
                <w:sz w:val="24"/>
                <w:szCs w:val="24"/>
                <w:highlight w:val="none"/>
                <w:lang w:eastAsia="zh-CN"/>
              </w:rPr>
              <w:t>，对其</w:t>
            </w:r>
            <w:r>
              <w:rPr>
                <w:rFonts w:hint="eastAsia" w:ascii="仿宋_GB2312" w:hAnsi="仿宋_GB2312" w:eastAsia="仿宋_GB2312" w:cs="仿宋_GB2312"/>
                <w:snapToGrid w:val="0"/>
                <w:color w:val="000000"/>
                <w:spacing w:val="0"/>
                <w:kern w:val="0"/>
                <w:sz w:val="24"/>
                <w:szCs w:val="24"/>
                <w:highlight w:val="none"/>
              </w:rPr>
              <w:t>进行实地考察，了解食用农产品生产过程以及相关信息。</w:t>
            </w:r>
          </w:p>
        </w:tc>
        <w:tc>
          <w:tcPr>
            <w:tcW w:w="182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□是  □否</w:t>
            </w:r>
          </w:p>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rPr>
              <w:t>□合理缺项</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r>
              <w:rPr>
                <w:rFonts w:hint="eastAsia" w:ascii="仿宋_GB2312" w:hAnsi="仿宋_GB2312" w:eastAsia="仿宋_GB2312" w:cs="仿宋_GB2312"/>
                <w:snapToGrid w:val="0"/>
                <w:color w:val="000000"/>
                <w:spacing w:val="0"/>
                <w:kern w:val="0"/>
                <w:sz w:val="24"/>
                <w:szCs w:val="24"/>
                <w:highlight w:val="none"/>
                <w:lang w:val="en-US" w:eastAsia="zh-CN"/>
              </w:rPr>
              <w:t>1</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p>
        </w:tc>
        <w:tc>
          <w:tcPr>
            <w:tcW w:w="8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772"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highlight w:val="none"/>
                <w:lang w:eastAsia="zh-CN"/>
              </w:rPr>
            </w:pPr>
            <w:r>
              <w:rPr>
                <w:rFonts w:hint="eastAsia" w:ascii="仿宋_GB2312" w:hAnsi="仿宋_GB2312" w:eastAsia="仿宋_GB2312" w:cs="仿宋_GB2312"/>
                <w:snapToGrid w:val="0"/>
                <w:color w:val="000000"/>
                <w:spacing w:val="0"/>
                <w:kern w:val="0"/>
                <w:sz w:val="24"/>
                <w:szCs w:val="24"/>
                <w:highlight w:val="none"/>
                <w:lang w:eastAsia="zh-CN"/>
              </w:rPr>
              <w:t>总计</w:t>
            </w:r>
          </w:p>
        </w:tc>
        <w:tc>
          <w:tcPr>
            <w:tcW w:w="80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lang w:val="en-US" w:eastAsia="zh-CN"/>
              </w:rPr>
            </w:pPr>
            <w:r>
              <w:rPr>
                <w:rFonts w:hint="eastAsia" w:ascii="仿宋_GB2312" w:hAnsi="仿宋_GB2312" w:eastAsia="仿宋_GB2312" w:cs="仿宋_GB2312"/>
                <w:snapToGrid w:val="0"/>
                <w:color w:val="000000"/>
                <w:spacing w:val="0"/>
                <w:kern w:val="0"/>
                <w:sz w:val="24"/>
                <w:szCs w:val="24"/>
                <w:highlight w:val="none"/>
                <w:lang w:val="en-US" w:eastAsia="zh-CN"/>
              </w:rPr>
              <w:t>40</w:t>
            </w:r>
          </w:p>
        </w:tc>
        <w:tc>
          <w:tcPr>
            <w:tcW w:w="1601"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5" w:hRule="atLeast"/>
          <w:jc w:val="center"/>
        </w:trPr>
        <w:tc>
          <w:tcPr>
            <w:tcW w:w="2649"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黑体" w:hAnsi="黑体" w:eastAsia="黑体" w:cs="黑体"/>
                <w:snapToGrid w:val="0"/>
                <w:color w:val="000000"/>
                <w:spacing w:val="0"/>
                <w:kern w:val="0"/>
                <w:sz w:val="24"/>
                <w:szCs w:val="24"/>
                <w:highlight w:val="none"/>
                <w:lang w:eastAsia="zh-CN"/>
              </w:rPr>
            </w:pPr>
            <w:r>
              <w:rPr>
                <w:rFonts w:hint="eastAsia" w:ascii="黑体" w:hAnsi="黑体" w:eastAsia="黑体" w:cs="黑体"/>
                <w:snapToGrid w:val="0"/>
                <w:color w:val="000000"/>
                <w:spacing w:val="0"/>
                <w:kern w:val="0"/>
                <w:sz w:val="24"/>
                <w:szCs w:val="24"/>
                <w:highlight w:val="none"/>
                <w:lang w:eastAsia="zh-CN"/>
              </w:rPr>
              <w:t>检查人员姓名</w:t>
            </w:r>
          </w:p>
        </w:tc>
        <w:tc>
          <w:tcPr>
            <w:tcW w:w="11524" w:type="dxa"/>
            <w:gridSpan w:val="5"/>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黑体" w:hAnsi="黑体" w:eastAsia="黑体" w:cs="黑体"/>
                <w:snapToGrid w:val="0"/>
                <w:color w:val="000000"/>
                <w:spacing w:val="0"/>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62" w:hRule="atLeast"/>
          <w:jc w:val="center"/>
        </w:trPr>
        <w:tc>
          <w:tcPr>
            <w:tcW w:w="14173" w:type="dxa"/>
            <w:gridSpan w:val="7"/>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黑体" w:hAnsi="黑体" w:eastAsia="黑体" w:cs="黑体"/>
                <w:snapToGrid w:val="0"/>
                <w:color w:val="000000"/>
                <w:spacing w:val="0"/>
                <w:kern w:val="0"/>
                <w:sz w:val="24"/>
                <w:szCs w:val="24"/>
                <w:highlight w:val="none"/>
              </w:rPr>
            </w:pPr>
            <w:r>
              <w:rPr>
                <w:rFonts w:hint="eastAsia" w:ascii="黑体" w:hAnsi="黑体" w:eastAsia="黑体" w:cs="黑体"/>
                <w:snapToGrid w:val="0"/>
                <w:color w:val="000000"/>
                <w:spacing w:val="0"/>
                <w:kern w:val="0"/>
                <w:sz w:val="24"/>
                <w:szCs w:val="24"/>
                <w:highlight w:val="none"/>
              </w:rPr>
              <w:t>其他需要记录的问题：</w:t>
            </w:r>
          </w:p>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黑体" w:hAnsi="黑体" w:eastAsia="黑体" w:cs="黑体"/>
                <w:snapToGrid w:val="0"/>
                <w:color w:val="000000"/>
                <w:spacing w:val="0"/>
                <w:kern w:val="0"/>
                <w:sz w:val="24"/>
                <w:szCs w:val="24"/>
                <w:highlight w:val="none"/>
              </w:rPr>
            </w:pPr>
          </w:p>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黑体" w:hAnsi="黑体" w:eastAsia="黑体" w:cs="黑体"/>
                <w:snapToGrid w:val="0"/>
                <w:color w:val="000000"/>
                <w:spacing w:val="0"/>
                <w:kern w:val="0"/>
                <w:sz w:val="24"/>
                <w:szCs w:val="24"/>
                <w:highlight w:val="none"/>
              </w:rPr>
            </w:pPr>
          </w:p>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黑体" w:hAnsi="黑体" w:eastAsia="黑体" w:cs="黑体"/>
                <w:snapToGrid w:val="0"/>
                <w:color w:val="000000"/>
                <w:spacing w:val="0"/>
                <w:kern w:val="0"/>
                <w:sz w:val="24"/>
                <w:szCs w:val="24"/>
                <w:highlight w:val="none"/>
              </w:rPr>
            </w:pPr>
          </w:p>
        </w:tc>
      </w:tr>
    </w:tbl>
    <w:p>
      <w:pPr>
        <w:keepNext w:val="0"/>
        <w:keepLines w:val="0"/>
        <w:pageBreakBefore w:val="0"/>
        <w:widowControl w:val="0"/>
        <w:kinsoku/>
        <w:wordWrap/>
        <w:overflowPunct w:val="0"/>
        <w:topLinePunct w:val="0"/>
        <w:autoSpaceDE/>
        <w:autoSpaceDN/>
        <w:bidi w:val="0"/>
        <w:adjustRightInd w:val="0"/>
        <w:snapToGrid w:val="0"/>
        <w:spacing w:line="400" w:lineRule="exact"/>
        <w:jc w:val="both"/>
        <w:textAlignment w:val="auto"/>
        <w:rPr>
          <w:rFonts w:hint="eastAsia" w:ascii="楷体_GB2312" w:hAnsi="楷体_GB2312" w:eastAsia="楷体_GB2312" w:cs="楷体_GB2312"/>
          <w:snapToGrid w:val="0"/>
          <w:spacing w:val="0"/>
          <w:kern w:val="0"/>
          <w:sz w:val="28"/>
          <w:szCs w:val="28"/>
          <w:highlight w:val="none"/>
          <w:lang w:eastAsia="zh-CN"/>
        </w:rPr>
      </w:pPr>
      <w:r>
        <w:rPr>
          <w:rFonts w:hint="eastAsia" w:ascii="楷体_GB2312" w:hAnsi="楷体_GB2312" w:eastAsia="楷体_GB2312" w:cs="楷体_GB2312"/>
          <w:snapToGrid w:val="0"/>
          <w:spacing w:val="0"/>
          <w:kern w:val="0"/>
          <w:sz w:val="28"/>
          <w:szCs w:val="28"/>
          <w:highlight w:val="none"/>
          <w:lang w:eastAsia="zh-CN"/>
        </w:rPr>
        <w:t>备注：</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60" w:firstLineChars="200"/>
        <w:jc w:val="both"/>
        <w:textAlignment w:val="auto"/>
        <w:rPr>
          <w:rFonts w:hint="eastAsia" w:ascii="楷体_GB2312" w:hAnsi="楷体_GB2312" w:eastAsia="楷体_GB2312" w:cs="楷体_GB2312"/>
          <w:snapToGrid w:val="0"/>
          <w:color w:val="000000"/>
          <w:spacing w:val="0"/>
          <w:kern w:val="0"/>
          <w:sz w:val="28"/>
          <w:szCs w:val="28"/>
          <w:highlight w:val="none"/>
        </w:rPr>
      </w:pPr>
      <w:r>
        <w:rPr>
          <w:rFonts w:hint="eastAsia" w:ascii="楷体_GB2312" w:hAnsi="楷体_GB2312" w:eastAsia="楷体_GB2312" w:cs="楷体_GB2312"/>
          <w:snapToGrid w:val="0"/>
          <w:spacing w:val="0"/>
          <w:kern w:val="0"/>
          <w:sz w:val="28"/>
          <w:szCs w:val="28"/>
          <w:highlight w:val="none"/>
        </w:rPr>
        <w:t>1</w:t>
      </w:r>
      <w:r>
        <w:rPr>
          <w:rFonts w:hint="eastAsia" w:ascii="楷体_GB2312" w:hAnsi="楷体_GB2312" w:eastAsia="楷体_GB2312" w:cs="楷体_GB2312"/>
          <w:snapToGrid w:val="0"/>
          <w:spacing w:val="0"/>
          <w:kern w:val="0"/>
          <w:sz w:val="28"/>
          <w:szCs w:val="28"/>
          <w:highlight w:val="none"/>
          <w:lang w:val="en-US" w:eastAsia="zh-CN"/>
        </w:rPr>
        <w:t>.</w:t>
      </w:r>
      <w:r>
        <w:rPr>
          <w:rFonts w:hint="eastAsia" w:ascii="楷体_GB2312" w:hAnsi="楷体_GB2312" w:eastAsia="楷体_GB2312" w:cs="楷体_GB2312"/>
          <w:snapToGrid w:val="0"/>
          <w:color w:val="000000"/>
          <w:spacing w:val="0"/>
          <w:kern w:val="0"/>
          <w:sz w:val="28"/>
          <w:szCs w:val="28"/>
          <w:highlight w:val="none"/>
        </w:rPr>
        <w:t>集中交易市场开办者是指依法设立、为食用农产品（食品）</w:t>
      </w:r>
      <w:r>
        <w:rPr>
          <w:rFonts w:hint="eastAsia" w:ascii="楷体_GB2312" w:hAnsi="楷体_GB2312" w:eastAsia="楷体_GB2312" w:cs="楷体_GB2312"/>
          <w:snapToGrid w:val="0"/>
          <w:color w:val="000000"/>
          <w:spacing w:val="0"/>
          <w:kern w:val="0"/>
          <w:sz w:val="28"/>
          <w:szCs w:val="28"/>
          <w:highlight w:val="none"/>
          <w:lang w:eastAsia="zh-CN"/>
        </w:rPr>
        <w:t>批发、零售</w:t>
      </w:r>
      <w:r>
        <w:rPr>
          <w:rFonts w:hint="eastAsia" w:ascii="楷体_GB2312" w:hAnsi="楷体_GB2312" w:eastAsia="楷体_GB2312" w:cs="楷体_GB2312"/>
          <w:snapToGrid w:val="0"/>
          <w:color w:val="000000"/>
          <w:spacing w:val="0"/>
          <w:kern w:val="0"/>
          <w:sz w:val="28"/>
          <w:szCs w:val="28"/>
          <w:highlight w:val="none"/>
        </w:rPr>
        <w:t>提供场地、设施、服务以及日常管理的企业法人或者其他组织。</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60" w:firstLineChars="200"/>
        <w:jc w:val="both"/>
        <w:textAlignment w:val="auto"/>
        <w:rPr>
          <w:rFonts w:hint="eastAsia" w:ascii="楷体_GB2312" w:hAnsi="楷体_GB2312" w:eastAsia="楷体_GB2312" w:cs="楷体_GB2312"/>
          <w:snapToGrid w:val="0"/>
          <w:color w:val="000000"/>
          <w:spacing w:val="0"/>
          <w:kern w:val="0"/>
          <w:sz w:val="28"/>
          <w:szCs w:val="28"/>
          <w:highlight w:val="none"/>
          <w:lang w:eastAsia="zh-CN"/>
        </w:rPr>
      </w:pPr>
      <w:r>
        <w:rPr>
          <w:rFonts w:hint="eastAsia" w:ascii="楷体_GB2312" w:hAnsi="楷体_GB2312" w:eastAsia="楷体_GB2312" w:cs="楷体_GB2312"/>
          <w:snapToGrid w:val="0"/>
          <w:color w:val="000000"/>
          <w:spacing w:val="0"/>
          <w:kern w:val="0"/>
          <w:sz w:val="28"/>
          <w:szCs w:val="28"/>
          <w:highlight w:val="none"/>
          <w:lang w:val="en-US" w:eastAsia="zh-CN"/>
        </w:rPr>
        <w:t>2.</w:t>
      </w:r>
      <w:r>
        <w:rPr>
          <w:rFonts w:hint="eastAsia" w:ascii="楷体_GB2312" w:hAnsi="楷体_GB2312" w:eastAsia="楷体_GB2312" w:cs="楷体_GB2312"/>
          <w:snapToGrid w:val="0"/>
          <w:color w:val="000000"/>
          <w:spacing w:val="0"/>
          <w:kern w:val="0"/>
          <w:sz w:val="28"/>
          <w:szCs w:val="28"/>
          <w:highlight w:val="none"/>
        </w:rPr>
        <w:t>集中交易市场是指销售食用农产品</w:t>
      </w:r>
      <w:r>
        <w:rPr>
          <w:rFonts w:hint="eastAsia" w:ascii="楷体_GB2312" w:hAnsi="楷体_GB2312" w:eastAsia="楷体_GB2312" w:cs="楷体_GB2312"/>
          <w:snapToGrid w:val="0"/>
          <w:color w:val="000000"/>
          <w:spacing w:val="0"/>
          <w:kern w:val="0"/>
          <w:sz w:val="28"/>
          <w:szCs w:val="28"/>
          <w:highlight w:val="none"/>
          <w:lang w:eastAsia="zh-CN"/>
        </w:rPr>
        <w:t>（食品）</w:t>
      </w:r>
      <w:r>
        <w:rPr>
          <w:rFonts w:hint="eastAsia" w:ascii="楷体_GB2312" w:hAnsi="楷体_GB2312" w:eastAsia="楷体_GB2312" w:cs="楷体_GB2312"/>
          <w:snapToGrid w:val="0"/>
          <w:color w:val="000000"/>
          <w:spacing w:val="0"/>
          <w:kern w:val="0"/>
          <w:sz w:val="28"/>
          <w:szCs w:val="28"/>
          <w:highlight w:val="none"/>
        </w:rPr>
        <w:t>的批发市场和零售市场（含农贸市场等集中零售市场）</w:t>
      </w:r>
      <w:r>
        <w:rPr>
          <w:rFonts w:hint="eastAsia" w:ascii="楷体_GB2312" w:hAnsi="楷体_GB2312" w:eastAsia="楷体_GB2312" w:cs="楷体_GB2312"/>
          <w:snapToGrid w:val="0"/>
          <w:color w:val="000000"/>
          <w:spacing w:val="0"/>
          <w:kern w:val="0"/>
          <w:sz w:val="28"/>
          <w:szCs w:val="28"/>
          <w:highlight w:val="none"/>
          <w:lang w:eastAsia="zh-CN"/>
        </w:rPr>
        <w:t>。</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60" w:firstLineChars="200"/>
        <w:jc w:val="both"/>
        <w:textAlignment w:val="auto"/>
        <w:rPr>
          <w:rFonts w:hint="eastAsia" w:ascii="楷体_GB2312" w:hAnsi="楷体_GB2312" w:eastAsia="楷体_GB2312" w:cs="楷体_GB2312"/>
          <w:snapToGrid w:val="0"/>
          <w:color w:val="000000"/>
          <w:spacing w:val="0"/>
          <w:kern w:val="0"/>
          <w:sz w:val="28"/>
          <w:szCs w:val="28"/>
          <w:highlight w:val="none"/>
        </w:rPr>
      </w:pPr>
      <w:r>
        <w:rPr>
          <w:rFonts w:hint="eastAsia" w:ascii="楷体_GB2312" w:hAnsi="楷体_GB2312" w:eastAsia="楷体_GB2312" w:cs="楷体_GB2312"/>
          <w:snapToGrid w:val="0"/>
          <w:spacing w:val="0"/>
          <w:kern w:val="0"/>
          <w:sz w:val="28"/>
          <w:szCs w:val="28"/>
          <w:highlight w:val="none"/>
          <w:lang w:val="en-US" w:eastAsia="zh-CN"/>
        </w:rPr>
        <w:t>3.</w:t>
      </w:r>
      <w:r>
        <w:rPr>
          <w:rFonts w:hint="eastAsia" w:ascii="楷体_GB2312" w:hAnsi="楷体_GB2312" w:eastAsia="楷体_GB2312" w:cs="楷体_GB2312"/>
          <w:snapToGrid w:val="0"/>
          <w:color w:val="000000"/>
          <w:spacing w:val="0"/>
          <w:kern w:val="0"/>
          <w:sz w:val="28"/>
          <w:szCs w:val="28"/>
          <w:highlight w:val="none"/>
        </w:rPr>
        <w:t>属于一家市场开办者开办多个市场的情形的，将具体市场作为实施风险分级的工作对象。</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60" w:firstLineChars="200"/>
        <w:jc w:val="both"/>
        <w:textAlignment w:val="auto"/>
        <w:rPr>
          <w:rFonts w:hint="eastAsia" w:ascii="楷体_GB2312" w:hAnsi="楷体_GB2312" w:eastAsia="楷体_GB2312" w:cs="楷体_GB2312"/>
          <w:snapToGrid w:val="0"/>
          <w:spacing w:val="0"/>
          <w:kern w:val="0"/>
          <w:sz w:val="28"/>
          <w:szCs w:val="28"/>
          <w:highlight w:val="none"/>
        </w:rPr>
      </w:pPr>
      <w:r>
        <w:rPr>
          <w:rFonts w:hint="eastAsia" w:ascii="楷体_GB2312" w:hAnsi="楷体_GB2312" w:eastAsia="楷体_GB2312" w:cs="楷体_GB2312"/>
          <w:snapToGrid w:val="0"/>
          <w:color w:val="000000"/>
          <w:spacing w:val="0"/>
          <w:kern w:val="0"/>
          <w:sz w:val="28"/>
          <w:szCs w:val="28"/>
          <w:highlight w:val="none"/>
          <w:lang w:val="en-US" w:eastAsia="zh-CN"/>
        </w:rPr>
        <w:t>4.</w:t>
      </w:r>
      <w:r>
        <w:rPr>
          <w:rFonts w:hint="eastAsia" w:ascii="楷体_GB2312" w:hAnsi="楷体_GB2312" w:eastAsia="楷体_GB2312" w:cs="楷体_GB2312"/>
          <w:snapToGrid w:val="0"/>
          <w:spacing w:val="0"/>
          <w:kern w:val="0"/>
          <w:sz w:val="28"/>
          <w:szCs w:val="28"/>
          <w:highlight w:val="none"/>
          <w:lang w:eastAsia="zh-CN"/>
        </w:rPr>
        <w:t>动态分值总和为</w:t>
      </w:r>
      <w:r>
        <w:rPr>
          <w:rFonts w:hint="eastAsia" w:ascii="楷体_GB2312" w:hAnsi="楷体_GB2312" w:eastAsia="楷体_GB2312" w:cs="楷体_GB2312"/>
          <w:snapToGrid w:val="0"/>
          <w:spacing w:val="0"/>
          <w:kern w:val="0"/>
          <w:sz w:val="28"/>
          <w:szCs w:val="28"/>
          <w:highlight w:val="none"/>
          <w:lang w:val="en-US" w:eastAsia="zh-CN"/>
        </w:rPr>
        <w:t>40</w:t>
      </w:r>
      <w:r>
        <w:rPr>
          <w:rFonts w:hint="eastAsia" w:ascii="楷体_GB2312" w:hAnsi="楷体_GB2312" w:eastAsia="楷体_GB2312" w:cs="楷体_GB2312"/>
          <w:snapToGrid w:val="0"/>
          <w:spacing w:val="0"/>
          <w:kern w:val="0"/>
          <w:sz w:val="28"/>
          <w:szCs w:val="28"/>
          <w:highlight w:val="none"/>
          <w:lang w:eastAsia="zh-CN"/>
        </w:rPr>
        <w:t>分，每个项目根据其存在风险（不合规程度）打分，选择“是”，不得分；选择“否”，视情况打分，存在风险（不合规程度）越高，得分越高。</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60" w:firstLineChars="200"/>
        <w:jc w:val="both"/>
        <w:textAlignment w:val="auto"/>
        <w:rPr>
          <w:rFonts w:hint="eastAsia" w:ascii="楷体_GB2312" w:hAnsi="楷体_GB2312" w:eastAsia="楷体_GB2312" w:cs="楷体_GB2312"/>
          <w:snapToGrid w:val="0"/>
          <w:color w:val="000000"/>
          <w:spacing w:val="0"/>
          <w:kern w:val="0"/>
          <w:sz w:val="28"/>
          <w:szCs w:val="28"/>
          <w:highlight w:val="none"/>
          <w:lang w:val="en-US" w:eastAsia="zh-CN"/>
        </w:rPr>
      </w:pPr>
      <w:r>
        <w:rPr>
          <w:rFonts w:hint="eastAsia" w:ascii="楷体_GB2312" w:hAnsi="楷体_GB2312" w:eastAsia="楷体_GB2312" w:cs="楷体_GB2312"/>
          <w:snapToGrid w:val="0"/>
          <w:color w:val="000000"/>
          <w:spacing w:val="0"/>
          <w:kern w:val="0"/>
          <w:sz w:val="28"/>
          <w:szCs w:val="28"/>
          <w:highlight w:val="none"/>
          <w:lang w:val="en-US" w:eastAsia="zh-CN"/>
        </w:rPr>
        <w:t>5.检查内容包括但不仅限于所列项目，所列项目检查发现的问题，填写在“存在问题”栏，发现的其他问题填写在“其他需要记录的问题”栏。</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60" w:firstLineChars="200"/>
        <w:jc w:val="both"/>
        <w:textAlignment w:val="auto"/>
        <w:rPr>
          <w:rFonts w:hint="eastAsia" w:ascii="楷体_GB2312" w:hAnsi="楷体_GB2312" w:eastAsia="楷体_GB2312" w:cs="楷体_GB2312"/>
          <w:snapToGrid w:val="0"/>
          <w:spacing w:val="0"/>
          <w:kern w:val="0"/>
          <w:sz w:val="28"/>
          <w:szCs w:val="28"/>
          <w:highlight w:val="none"/>
          <w:lang w:eastAsia="zh-CN"/>
        </w:rPr>
      </w:pPr>
      <w:r>
        <w:rPr>
          <w:rFonts w:hint="eastAsia" w:ascii="楷体_GB2312" w:hAnsi="楷体_GB2312" w:eastAsia="楷体_GB2312" w:cs="楷体_GB2312"/>
          <w:snapToGrid w:val="0"/>
          <w:spacing w:val="0"/>
          <w:kern w:val="0"/>
          <w:sz w:val="28"/>
          <w:szCs w:val="28"/>
          <w:highlight w:val="none"/>
          <w:lang w:val="en-US" w:eastAsia="zh-CN"/>
        </w:rPr>
        <w:t>6.</w:t>
      </w:r>
      <w:r>
        <w:rPr>
          <w:rFonts w:hint="eastAsia" w:ascii="楷体_GB2312" w:hAnsi="楷体_GB2312" w:eastAsia="楷体_GB2312" w:cs="楷体_GB2312"/>
          <w:snapToGrid w:val="0"/>
          <w:spacing w:val="0"/>
          <w:kern w:val="0"/>
          <w:sz w:val="28"/>
          <w:szCs w:val="28"/>
          <w:highlight w:val="none"/>
          <w:lang w:eastAsia="zh-CN"/>
        </w:rPr>
        <w:t>表中打*号的为重点项，其他为一般项。</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60" w:firstLineChars="200"/>
        <w:jc w:val="both"/>
        <w:textAlignment w:val="auto"/>
        <w:rPr>
          <w:rFonts w:hint="eastAsia" w:ascii="楷体_GB2312" w:hAnsi="楷体_GB2312" w:eastAsia="楷体_GB2312" w:cs="楷体_GB2312"/>
          <w:snapToGrid w:val="0"/>
          <w:spacing w:val="0"/>
          <w:kern w:val="0"/>
          <w:sz w:val="28"/>
          <w:szCs w:val="28"/>
          <w:highlight w:val="none"/>
          <w:lang w:val="en-US" w:eastAsia="zh-CN"/>
        </w:rPr>
        <w:sectPr>
          <w:pgSz w:w="16838" w:h="11906" w:orient="landscape"/>
          <w:pgMar w:top="1134" w:right="1417" w:bottom="1134" w:left="1417" w:header="851" w:footer="283"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楷体_GB2312" w:hAnsi="楷体_GB2312" w:eastAsia="楷体_GB2312" w:cs="楷体_GB2312"/>
          <w:snapToGrid w:val="0"/>
          <w:spacing w:val="0"/>
          <w:kern w:val="0"/>
          <w:sz w:val="28"/>
          <w:szCs w:val="28"/>
          <w:highlight w:val="none"/>
          <w:lang w:val="en-US" w:eastAsia="zh-CN"/>
        </w:rPr>
        <w:t>7.如果检查项目存在合理缺项，该项不得分，不计入不符合项数。</w:t>
      </w:r>
    </w:p>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outlineLvl w:val="0"/>
        <w:rPr>
          <w:rFonts w:hint="eastAsia" w:ascii="黑体" w:hAnsi="黑体" w:eastAsia="黑体" w:cs="黑体"/>
          <w:snapToGrid w:val="0"/>
          <w:kern w:val="0"/>
          <w:sz w:val="32"/>
          <w:szCs w:val="32"/>
          <w:lang w:val="en-US" w:eastAsia="zh-CN"/>
        </w:rPr>
      </w:pPr>
      <w:r>
        <w:rPr>
          <w:rFonts w:hint="eastAsia" w:ascii="黑体" w:hAnsi="黑体" w:eastAsia="黑体" w:cs="黑体"/>
          <w:snapToGrid w:val="0"/>
          <w:kern w:val="0"/>
          <w:sz w:val="32"/>
          <w:szCs w:val="32"/>
          <w:lang w:val="en-US" w:eastAsia="zh-CN"/>
        </w:rPr>
        <w:t>附件4-1</w:t>
      </w:r>
    </w:p>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outlineLvl w:val="0"/>
        <w:rPr>
          <w:rFonts w:hint="eastAsia" w:ascii="黑体" w:hAnsi="黑体" w:eastAsia="黑体" w:cs="黑体"/>
          <w:snapToGrid w:val="0"/>
          <w:kern w:val="0"/>
          <w:sz w:val="32"/>
          <w:szCs w:val="32"/>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00" w:lineRule="exact"/>
        <w:jc w:val="center"/>
        <w:textAlignment w:val="auto"/>
        <w:outlineLvl w:val="0"/>
        <w:rPr>
          <w:rFonts w:hint="eastAsia" w:ascii="方正小标宋简体" w:hAnsi="方正小标宋简体" w:eastAsia="方正小标宋简体" w:cs="方正小标宋简体"/>
          <w:snapToGrid w:val="0"/>
          <w:kern w:val="0"/>
          <w:sz w:val="44"/>
          <w:szCs w:val="44"/>
        </w:rPr>
      </w:pPr>
      <w:r>
        <w:rPr>
          <w:rFonts w:hint="eastAsia" w:ascii="方正小标宋简体" w:hAnsi="方正小标宋简体" w:eastAsia="方正小标宋简体" w:cs="方正小标宋简体"/>
          <w:snapToGrid w:val="0"/>
          <w:kern w:val="0"/>
          <w:sz w:val="44"/>
          <w:szCs w:val="44"/>
        </w:rPr>
        <w:t>餐饮服务提供者静态风险因素量化分值表</w:t>
      </w:r>
    </w:p>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outlineLvl w:val="0"/>
        <w:rPr>
          <w:rFonts w:hint="eastAsia" w:ascii="黑体" w:hAnsi="黑体" w:eastAsia="黑体" w:cs="黑体"/>
          <w:snapToGrid w:val="0"/>
          <w:kern w:val="0"/>
          <w:sz w:val="32"/>
          <w:szCs w:val="32"/>
        </w:rPr>
      </w:pPr>
    </w:p>
    <w:tbl>
      <w:tblPr>
        <w:tblStyle w:val="9"/>
        <w:tblW w:w="14173" w:type="dxa"/>
        <w:jc w:val="center"/>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20"/>
        <w:gridCol w:w="2103"/>
        <w:gridCol w:w="913"/>
        <w:gridCol w:w="1701"/>
        <w:gridCol w:w="1879"/>
        <w:gridCol w:w="1790"/>
        <w:gridCol w:w="1790"/>
        <w:gridCol w:w="1623"/>
        <w:gridCol w:w="95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4436" w:type="dxa"/>
            <w:gridSpan w:val="3"/>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sz w:val="24"/>
                <w:szCs w:val="24"/>
              </w:rPr>
            </w:pPr>
            <w:r>
              <w:rPr>
                <w:rFonts w:hint="eastAsia" w:ascii="黑体" w:hAnsi="黑体" w:eastAsia="黑体" w:cs="黑体"/>
                <w:sz w:val="24"/>
                <w:szCs w:val="24"/>
              </w:rPr>
              <w:t>评分项（共40分）</w:t>
            </w:r>
          </w:p>
        </w:tc>
        <w:tc>
          <w:tcPr>
            <w:tcW w:w="8783" w:type="dxa"/>
            <w:gridSpan w:val="5"/>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sz w:val="24"/>
                <w:szCs w:val="24"/>
              </w:rPr>
            </w:pPr>
            <w:r>
              <w:rPr>
                <w:rFonts w:hint="eastAsia" w:ascii="黑体" w:hAnsi="黑体" w:eastAsia="黑体" w:cs="黑体"/>
                <w:sz w:val="24"/>
                <w:szCs w:val="24"/>
              </w:rPr>
              <w:t>参考分值</w:t>
            </w:r>
          </w:p>
        </w:tc>
        <w:tc>
          <w:tcPr>
            <w:tcW w:w="9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sz w:val="24"/>
                <w:szCs w:val="24"/>
              </w:rPr>
            </w:pPr>
            <w:r>
              <w:rPr>
                <w:rFonts w:hint="eastAsia" w:ascii="黑体" w:hAnsi="黑体" w:eastAsia="黑体" w:cs="黑体"/>
                <w:sz w:val="24"/>
                <w:szCs w:val="24"/>
              </w:rPr>
              <w:t>得分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业态和规模（10分）</w:t>
            </w:r>
          </w:p>
        </w:tc>
        <w:tc>
          <w:tcPr>
            <w:tcW w:w="2103"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餐饮服务</w:t>
            </w:r>
          </w:p>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lang w:eastAsia="zh-CN"/>
              </w:rPr>
            </w:pPr>
            <w:r>
              <w:rPr>
                <w:rFonts w:hint="eastAsia" w:ascii="宋体" w:hAnsi="宋体" w:eastAsia="宋体" w:cs="宋体"/>
                <w:sz w:val="24"/>
                <w:szCs w:val="24"/>
                <w:shd w:val="clear" w:color="auto" w:fill="auto"/>
                <w:lang w:eastAsia="zh-CN"/>
              </w:rPr>
              <w:t>经营者</w:t>
            </w:r>
          </w:p>
        </w:tc>
        <w:tc>
          <w:tcPr>
            <w:tcW w:w="9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规模</w:t>
            </w:r>
          </w:p>
        </w:tc>
        <w:tc>
          <w:tcPr>
            <w:tcW w:w="17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面积150m</w:t>
            </w:r>
            <w:r>
              <w:rPr>
                <w:rFonts w:hint="eastAsia" w:ascii="宋体" w:hAnsi="宋体" w:eastAsia="宋体" w:cs="宋体"/>
                <w:sz w:val="24"/>
                <w:szCs w:val="24"/>
                <w:shd w:val="clear" w:color="auto" w:fill="auto"/>
                <w:vertAlign w:val="superscript"/>
              </w:rPr>
              <w:t>2</w:t>
            </w:r>
            <w:r>
              <w:rPr>
                <w:rFonts w:hint="eastAsia" w:ascii="宋体" w:hAnsi="宋体" w:eastAsia="宋体" w:cs="宋体"/>
                <w:sz w:val="24"/>
                <w:szCs w:val="24"/>
                <w:shd w:val="clear" w:color="auto" w:fill="auto"/>
              </w:rPr>
              <w:t>及以下</w:t>
            </w:r>
          </w:p>
        </w:tc>
        <w:tc>
          <w:tcPr>
            <w:tcW w:w="187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面积151m</w:t>
            </w:r>
            <w:r>
              <w:rPr>
                <w:rFonts w:hint="eastAsia" w:ascii="宋体" w:hAnsi="宋体" w:eastAsia="宋体" w:cs="宋体"/>
                <w:sz w:val="24"/>
                <w:szCs w:val="24"/>
                <w:shd w:val="clear" w:color="auto" w:fill="auto"/>
                <w:vertAlign w:val="superscript"/>
              </w:rPr>
              <w:t>2</w:t>
            </w:r>
            <w:r>
              <w:rPr>
                <w:rFonts w:hint="eastAsia" w:ascii="宋体" w:hAnsi="宋体" w:eastAsia="宋体" w:cs="宋体"/>
                <w:sz w:val="24"/>
                <w:szCs w:val="24"/>
                <w:shd w:val="clear" w:color="auto" w:fill="auto"/>
              </w:rPr>
              <w:t>～500m</w:t>
            </w:r>
            <w:r>
              <w:rPr>
                <w:rFonts w:hint="eastAsia" w:ascii="宋体" w:hAnsi="宋体" w:eastAsia="宋体" w:cs="宋体"/>
                <w:sz w:val="24"/>
                <w:szCs w:val="24"/>
                <w:shd w:val="clear" w:color="auto" w:fill="auto"/>
                <w:vertAlign w:val="superscript"/>
              </w:rPr>
              <w:t>2</w:t>
            </w:r>
          </w:p>
        </w:tc>
        <w:tc>
          <w:tcPr>
            <w:tcW w:w="179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面积501m</w:t>
            </w:r>
            <w:r>
              <w:rPr>
                <w:rFonts w:hint="eastAsia" w:ascii="宋体" w:hAnsi="宋体" w:eastAsia="宋体" w:cs="宋体"/>
                <w:sz w:val="24"/>
                <w:szCs w:val="24"/>
                <w:shd w:val="clear" w:color="auto" w:fill="auto"/>
                <w:vertAlign w:val="superscript"/>
              </w:rPr>
              <w:t>2</w:t>
            </w:r>
            <w:r>
              <w:rPr>
                <w:rFonts w:hint="eastAsia" w:ascii="宋体" w:hAnsi="宋体" w:eastAsia="宋体" w:cs="宋体"/>
                <w:sz w:val="24"/>
                <w:szCs w:val="24"/>
                <w:shd w:val="clear" w:color="auto" w:fill="auto"/>
              </w:rPr>
              <w:t>～1000m</w:t>
            </w:r>
            <w:r>
              <w:rPr>
                <w:rFonts w:hint="eastAsia" w:ascii="宋体" w:hAnsi="宋体" w:eastAsia="宋体" w:cs="宋体"/>
                <w:sz w:val="24"/>
                <w:szCs w:val="24"/>
                <w:shd w:val="clear" w:color="auto" w:fill="auto"/>
                <w:vertAlign w:val="superscript"/>
              </w:rPr>
              <w:t>2</w:t>
            </w:r>
          </w:p>
        </w:tc>
        <w:tc>
          <w:tcPr>
            <w:tcW w:w="179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面积1001m</w:t>
            </w:r>
            <w:r>
              <w:rPr>
                <w:rFonts w:hint="eastAsia" w:ascii="宋体" w:hAnsi="宋体" w:eastAsia="宋体" w:cs="宋体"/>
                <w:sz w:val="24"/>
                <w:szCs w:val="24"/>
                <w:shd w:val="clear" w:color="auto" w:fill="auto"/>
                <w:vertAlign w:val="superscript"/>
              </w:rPr>
              <w:t>2</w:t>
            </w:r>
            <w:r>
              <w:rPr>
                <w:rFonts w:hint="eastAsia" w:ascii="宋体" w:hAnsi="宋体" w:eastAsia="宋体" w:cs="宋体"/>
                <w:sz w:val="24"/>
                <w:szCs w:val="24"/>
                <w:shd w:val="clear" w:color="auto" w:fill="auto"/>
              </w:rPr>
              <w:t>～3000m</w:t>
            </w:r>
            <w:r>
              <w:rPr>
                <w:rFonts w:hint="eastAsia" w:ascii="宋体" w:hAnsi="宋体" w:eastAsia="宋体" w:cs="宋体"/>
                <w:sz w:val="24"/>
                <w:szCs w:val="24"/>
                <w:shd w:val="clear" w:color="auto" w:fill="auto"/>
                <w:vertAlign w:val="superscript"/>
              </w:rPr>
              <w:t>2</w:t>
            </w:r>
          </w:p>
        </w:tc>
        <w:tc>
          <w:tcPr>
            <w:tcW w:w="162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面积3001m</w:t>
            </w:r>
            <w:r>
              <w:rPr>
                <w:rFonts w:hint="eastAsia" w:ascii="宋体" w:hAnsi="宋体" w:eastAsia="宋体" w:cs="宋体"/>
                <w:sz w:val="24"/>
                <w:szCs w:val="24"/>
                <w:shd w:val="clear" w:color="auto" w:fill="auto"/>
                <w:vertAlign w:val="superscript"/>
              </w:rPr>
              <w:t>2</w:t>
            </w:r>
            <w:r>
              <w:rPr>
                <w:rFonts w:hint="eastAsia" w:ascii="宋体" w:hAnsi="宋体" w:eastAsia="宋体" w:cs="宋体"/>
                <w:sz w:val="24"/>
                <w:szCs w:val="24"/>
                <w:shd w:val="clear" w:color="auto" w:fill="auto"/>
              </w:rPr>
              <w:t>及以上</w:t>
            </w:r>
          </w:p>
        </w:tc>
        <w:tc>
          <w:tcPr>
            <w:tcW w:w="95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210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p>
        </w:tc>
        <w:tc>
          <w:tcPr>
            <w:tcW w:w="9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分值</w:t>
            </w:r>
          </w:p>
        </w:tc>
        <w:tc>
          <w:tcPr>
            <w:tcW w:w="17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2</w:t>
            </w:r>
          </w:p>
        </w:tc>
        <w:tc>
          <w:tcPr>
            <w:tcW w:w="187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4</w:t>
            </w:r>
          </w:p>
        </w:tc>
        <w:tc>
          <w:tcPr>
            <w:tcW w:w="179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6</w:t>
            </w:r>
          </w:p>
        </w:tc>
        <w:tc>
          <w:tcPr>
            <w:tcW w:w="179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8</w:t>
            </w:r>
          </w:p>
        </w:tc>
        <w:tc>
          <w:tcPr>
            <w:tcW w:w="162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10</w:t>
            </w:r>
          </w:p>
        </w:tc>
        <w:tc>
          <w:tcPr>
            <w:tcW w:w="95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2103"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单位食堂</w:t>
            </w:r>
          </w:p>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lang w:eastAsia="zh-CN"/>
              </w:rPr>
            </w:pPr>
            <w:r>
              <w:rPr>
                <w:rFonts w:hint="eastAsia" w:ascii="宋体" w:hAnsi="宋体" w:eastAsia="宋体" w:cs="宋体"/>
                <w:sz w:val="24"/>
                <w:szCs w:val="24"/>
                <w:shd w:val="clear" w:color="auto" w:fill="auto"/>
                <w:lang w:eastAsia="zh-CN"/>
              </w:rPr>
              <w:t>（不含学校食堂）</w:t>
            </w:r>
          </w:p>
        </w:tc>
        <w:tc>
          <w:tcPr>
            <w:tcW w:w="9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规模</w:t>
            </w:r>
          </w:p>
        </w:tc>
        <w:tc>
          <w:tcPr>
            <w:tcW w:w="3580"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供餐人数50人及以下</w:t>
            </w:r>
          </w:p>
        </w:tc>
        <w:tc>
          <w:tcPr>
            <w:tcW w:w="179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供餐人数</w:t>
            </w:r>
          </w:p>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51人～300人</w:t>
            </w:r>
          </w:p>
        </w:tc>
        <w:tc>
          <w:tcPr>
            <w:tcW w:w="179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供餐人数</w:t>
            </w:r>
          </w:p>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301人～500人</w:t>
            </w:r>
          </w:p>
        </w:tc>
        <w:tc>
          <w:tcPr>
            <w:tcW w:w="162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供餐人数</w:t>
            </w:r>
          </w:p>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501人及以上</w:t>
            </w:r>
          </w:p>
        </w:tc>
        <w:tc>
          <w:tcPr>
            <w:tcW w:w="95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210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p>
        </w:tc>
        <w:tc>
          <w:tcPr>
            <w:tcW w:w="91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分值</w:t>
            </w:r>
          </w:p>
        </w:tc>
        <w:tc>
          <w:tcPr>
            <w:tcW w:w="3580"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2</w:t>
            </w:r>
          </w:p>
        </w:tc>
        <w:tc>
          <w:tcPr>
            <w:tcW w:w="179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4</w:t>
            </w:r>
          </w:p>
        </w:tc>
        <w:tc>
          <w:tcPr>
            <w:tcW w:w="1790"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7</w:t>
            </w:r>
          </w:p>
        </w:tc>
        <w:tc>
          <w:tcPr>
            <w:tcW w:w="1623"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shd w:val="clear" w:color="auto" w:fill="auto"/>
              </w:rPr>
            </w:pPr>
            <w:r>
              <w:rPr>
                <w:rFonts w:hint="eastAsia" w:ascii="宋体" w:hAnsi="宋体" w:eastAsia="宋体" w:cs="宋体"/>
                <w:sz w:val="24"/>
                <w:szCs w:val="24"/>
                <w:shd w:val="clear" w:color="auto" w:fill="auto"/>
              </w:rPr>
              <w:t>10</w:t>
            </w:r>
          </w:p>
        </w:tc>
        <w:tc>
          <w:tcPr>
            <w:tcW w:w="95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食品经营</w:t>
            </w:r>
          </w:p>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eastAsia="zh-CN"/>
              </w:rPr>
              <w:t>许可证申请的经营项目</w:t>
            </w:r>
            <w:r>
              <w:rPr>
                <w:rFonts w:hint="eastAsia" w:ascii="宋体" w:hAnsi="宋体" w:eastAsia="宋体" w:cs="宋体"/>
                <w:sz w:val="24"/>
                <w:szCs w:val="24"/>
              </w:rPr>
              <w:t>（30分）</w:t>
            </w:r>
          </w:p>
        </w:tc>
        <w:tc>
          <w:tcPr>
            <w:tcW w:w="3016"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eastAsia="zh-CN"/>
              </w:rPr>
            </w:pPr>
            <w:r>
              <w:rPr>
                <w:rFonts w:hint="eastAsia" w:ascii="宋体" w:hAnsi="宋体" w:eastAsia="宋体" w:cs="宋体"/>
                <w:color w:val="auto"/>
                <w:sz w:val="24"/>
                <w:szCs w:val="24"/>
                <w:shd w:val="clear" w:color="auto" w:fill="auto"/>
                <w:lang w:eastAsia="zh-CN"/>
              </w:rPr>
              <w:t>热</w:t>
            </w:r>
            <w:r>
              <w:rPr>
                <w:rFonts w:hint="eastAsia" w:ascii="宋体" w:hAnsi="宋体" w:eastAsia="宋体" w:cs="宋体"/>
                <w:color w:val="auto"/>
                <w:sz w:val="24"/>
                <w:szCs w:val="24"/>
                <w:shd w:val="clear" w:color="auto" w:fill="auto"/>
              </w:rPr>
              <w:t>食类食品制售（</w:t>
            </w:r>
            <w:r>
              <w:rPr>
                <w:rFonts w:hint="eastAsia" w:ascii="宋体" w:hAnsi="宋体" w:eastAsia="宋体" w:cs="宋体"/>
                <w:color w:val="auto"/>
                <w:sz w:val="24"/>
                <w:szCs w:val="24"/>
                <w:shd w:val="clear" w:color="auto" w:fill="auto"/>
                <w:lang w:val="en-US" w:eastAsia="zh-CN"/>
              </w:rPr>
              <w:t>3</w:t>
            </w:r>
            <w:r>
              <w:rPr>
                <w:rFonts w:hint="eastAsia" w:ascii="宋体" w:hAnsi="宋体" w:eastAsia="宋体" w:cs="宋体"/>
                <w:color w:val="auto"/>
                <w:sz w:val="24"/>
                <w:szCs w:val="24"/>
                <w:shd w:val="clear" w:color="auto" w:fill="auto"/>
              </w:rPr>
              <w:t>分）</w:t>
            </w:r>
          </w:p>
        </w:tc>
        <w:tc>
          <w:tcPr>
            <w:tcW w:w="17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eastAsia="zh-CN"/>
              </w:rPr>
            </w:pPr>
            <w:r>
              <w:rPr>
                <w:rFonts w:hint="eastAsia" w:ascii="宋体" w:hAnsi="宋体" w:eastAsia="宋体" w:cs="宋体"/>
                <w:color w:val="auto"/>
                <w:sz w:val="24"/>
                <w:szCs w:val="24"/>
                <w:shd w:val="clear" w:color="auto" w:fill="auto"/>
                <w:lang w:eastAsia="zh-CN"/>
              </w:rPr>
              <w:t>分值</w:t>
            </w:r>
          </w:p>
        </w:tc>
        <w:tc>
          <w:tcPr>
            <w:tcW w:w="7082"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3</w:t>
            </w:r>
          </w:p>
        </w:tc>
        <w:tc>
          <w:tcPr>
            <w:tcW w:w="9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3016"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简单制售（3分）</w:t>
            </w:r>
          </w:p>
        </w:tc>
        <w:tc>
          <w:tcPr>
            <w:tcW w:w="17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eastAsia="zh-CN"/>
              </w:rPr>
            </w:pPr>
            <w:r>
              <w:rPr>
                <w:rFonts w:hint="eastAsia" w:ascii="宋体" w:hAnsi="宋体" w:eastAsia="宋体" w:cs="宋体"/>
                <w:color w:val="auto"/>
                <w:sz w:val="24"/>
                <w:szCs w:val="24"/>
                <w:shd w:val="clear" w:color="auto" w:fill="auto"/>
                <w:lang w:eastAsia="zh-CN"/>
              </w:rPr>
              <w:t>分值</w:t>
            </w:r>
          </w:p>
        </w:tc>
        <w:tc>
          <w:tcPr>
            <w:tcW w:w="7082"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3</w:t>
            </w:r>
          </w:p>
        </w:tc>
        <w:tc>
          <w:tcPr>
            <w:tcW w:w="9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3016" w:type="dxa"/>
            <w:gridSpan w:val="2"/>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冷食类食品制售（</w:t>
            </w:r>
            <w:r>
              <w:rPr>
                <w:rFonts w:hint="eastAsia" w:ascii="宋体" w:hAnsi="宋体" w:eastAsia="宋体" w:cs="宋体"/>
                <w:color w:val="auto"/>
                <w:sz w:val="24"/>
                <w:szCs w:val="24"/>
                <w:shd w:val="clear" w:color="auto" w:fill="auto"/>
                <w:lang w:val="en-US" w:eastAsia="zh-CN"/>
              </w:rPr>
              <w:t>6</w:t>
            </w:r>
            <w:r>
              <w:rPr>
                <w:rFonts w:hint="eastAsia" w:ascii="宋体" w:hAnsi="宋体" w:eastAsia="宋体" w:cs="宋体"/>
                <w:color w:val="auto"/>
                <w:sz w:val="24"/>
                <w:szCs w:val="24"/>
                <w:shd w:val="clear" w:color="auto" w:fill="auto"/>
              </w:rPr>
              <w:t>分）</w:t>
            </w:r>
          </w:p>
        </w:tc>
        <w:tc>
          <w:tcPr>
            <w:tcW w:w="1701"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eastAsia="zh-CN"/>
              </w:rPr>
            </w:pPr>
            <w:r>
              <w:rPr>
                <w:rFonts w:hint="eastAsia" w:ascii="宋体" w:hAnsi="宋体" w:eastAsia="宋体" w:cs="宋体"/>
                <w:color w:val="auto"/>
                <w:sz w:val="24"/>
                <w:szCs w:val="24"/>
                <w:shd w:val="clear" w:color="auto" w:fill="auto"/>
                <w:lang w:eastAsia="zh-CN"/>
              </w:rPr>
              <w:t>分值</w:t>
            </w:r>
          </w:p>
        </w:tc>
        <w:tc>
          <w:tcPr>
            <w:tcW w:w="3669"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snapToGrid w:val="0"/>
                <w:color w:val="auto"/>
                <w:spacing w:val="-11"/>
                <w:kern w:val="0"/>
                <w:sz w:val="24"/>
                <w:szCs w:val="24"/>
                <w:shd w:val="clear" w:color="auto" w:fill="auto"/>
                <w:lang w:val="en-US" w:eastAsia="zh-CN"/>
              </w:rPr>
              <w:t>不含冷加工糕点、冷荤类食品</w:t>
            </w:r>
          </w:p>
        </w:tc>
        <w:tc>
          <w:tcPr>
            <w:tcW w:w="3413"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含冷加工糕点、冷荤类食品</w:t>
            </w:r>
          </w:p>
        </w:tc>
        <w:tc>
          <w:tcPr>
            <w:tcW w:w="9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3016" w:type="dxa"/>
            <w:gridSpan w:val="2"/>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p>
        </w:tc>
        <w:tc>
          <w:tcPr>
            <w:tcW w:w="1701"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eastAsia="zh-CN"/>
              </w:rPr>
            </w:pPr>
          </w:p>
        </w:tc>
        <w:tc>
          <w:tcPr>
            <w:tcW w:w="3669"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3</w:t>
            </w:r>
          </w:p>
        </w:tc>
        <w:tc>
          <w:tcPr>
            <w:tcW w:w="3413"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6</w:t>
            </w:r>
          </w:p>
        </w:tc>
        <w:tc>
          <w:tcPr>
            <w:tcW w:w="9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3016"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生食类食品制售（</w:t>
            </w:r>
            <w:r>
              <w:rPr>
                <w:rFonts w:hint="eastAsia" w:ascii="宋体" w:hAnsi="宋体" w:eastAsia="宋体" w:cs="宋体"/>
                <w:color w:val="auto"/>
                <w:sz w:val="24"/>
                <w:szCs w:val="24"/>
                <w:shd w:val="clear" w:color="auto" w:fill="auto"/>
                <w:lang w:val="en-US" w:eastAsia="zh-CN"/>
              </w:rPr>
              <w:t>6</w:t>
            </w:r>
            <w:r>
              <w:rPr>
                <w:rFonts w:hint="eastAsia" w:ascii="宋体" w:hAnsi="宋体" w:eastAsia="宋体" w:cs="宋体"/>
                <w:color w:val="auto"/>
                <w:sz w:val="24"/>
                <w:szCs w:val="24"/>
                <w:shd w:val="clear" w:color="auto" w:fill="auto"/>
              </w:rPr>
              <w:t>分）</w:t>
            </w:r>
          </w:p>
        </w:tc>
        <w:tc>
          <w:tcPr>
            <w:tcW w:w="17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分值</w:t>
            </w:r>
          </w:p>
        </w:tc>
        <w:tc>
          <w:tcPr>
            <w:tcW w:w="7082"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6</w:t>
            </w:r>
          </w:p>
        </w:tc>
        <w:tc>
          <w:tcPr>
            <w:tcW w:w="9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3016" w:type="dxa"/>
            <w:gridSpan w:val="2"/>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eastAsia="zh-CN"/>
              </w:rPr>
              <w:t>自制饮品</w:t>
            </w:r>
            <w:r>
              <w:rPr>
                <w:rFonts w:hint="eastAsia" w:ascii="宋体" w:hAnsi="宋体" w:eastAsia="宋体" w:cs="宋体"/>
                <w:color w:val="auto"/>
                <w:sz w:val="24"/>
                <w:szCs w:val="24"/>
                <w:shd w:val="clear" w:color="auto" w:fill="auto"/>
              </w:rPr>
              <w:t>制售（</w:t>
            </w:r>
            <w:r>
              <w:rPr>
                <w:rFonts w:hint="eastAsia" w:ascii="宋体" w:hAnsi="宋体" w:eastAsia="宋体" w:cs="宋体"/>
                <w:color w:val="auto"/>
                <w:sz w:val="24"/>
                <w:szCs w:val="24"/>
                <w:shd w:val="clear" w:color="auto" w:fill="auto"/>
                <w:lang w:val="en-US" w:eastAsia="zh-CN"/>
              </w:rPr>
              <w:t>6</w:t>
            </w:r>
            <w:r>
              <w:rPr>
                <w:rFonts w:hint="eastAsia" w:ascii="宋体" w:hAnsi="宋体" w:eastAsia="宋体" w:cs="宋体"/>
                <w:color w:val="auto"/>
                <w:sz w:val="24"/>
                <w:szCs w:val="24"/>
                <w:shd w:val="clear" w:color="auto" w:fill="auto"/>
              </w:rPr>
              <w:t>分）</w:t>
            </w:r>
          </w:p>
        </w:tc>
        <w:tc>
          <w:tcPr>
            <w:tcW w:w="1701"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分值</w:t>
            </w:r>
          </w:p>
        </w:tc>
        <w:tc>
          <w:tcPr>
            <w:tcW w:w="3669"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4"/>
                <w:szCs w:val="24"/>
                <w:shd w:val="clear" w:color="auto" w:fill="auto"/>
                <w:lang w:val="en-US" w:eastAsia="zh-CN"/>
              </w:rPr>
            </w:pPr>
            <w:r>
              <w:rPr>
                <w:rFonts w:hint="eastAsia" w:ascii="宋体" w:hAnsi="宋体" w:eastAsia="宋体" w:cs="宋体"/>
                <w:color w:val="auto"/>
                <w:kern w:val="2"/>
                <w:sz w:val="24"/>
                <w:szCs w:val="24"/>
                <w:shd w:val="clear" w:color="auto" w:fill="auto"/>
                <w:lang w:val="en-US" w:eastAsia="zh-CN"/>
              </w:rPr>
              <w:t>不含自酿酒</w:t>
            </w:r>
          </w:p>
        </w:tc>
        <w:tc>
          <w:tcPr>
            <w:tcW w:w="3413"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4"/>
                <w:szCs w:val="24"/>
                <w:shd w:val="clear" w:color="auto" w:fill="auto"/>
                <w:lang w:val="en-US" w:eastAsia="zh-CN"/>
              </w:rPr>
            </w:pPr>
            <w:r>
              <w:rPr>
                <w:rFonts w:hint="eastAsia" w:ascii="宋体" w:hAnsi="宋体" w:eastAsia="宋体" w:cs="宋体"/>
                <w:color w:val="auto"/>
                <w:kern w:val="2"/>
                <w:sz w:val="24"/>
                <w:szCs w:val="24"/>
                <w:shd w:val="clear" w:color="auto" w:fill="auto"/>
                <w:lang w:val="en-US" w:eastAsia="zh-CN"/>
              </w:rPr>
              <w:t>含自酿酒</w:t>
            </w:r>
          </w:p>
        </w:tc>
        <w:tc>
          <w:tcPr>
            <w:tcW w:w="95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3016" w:type="dxa"/>
            <w:gridSpan w:val="2"/>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p>
        </w:tc>
        <w:tc>
          <w:tcPr>
            <w:tcW w:w="1701"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p>
        </w:tc>
        <w:tc>
          <w:tcPr>
            <w:tcW w:w="3669"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4"/>
                <w:szCs w:val="24"/>
                <w:shd w:val="clear" w:color="auto" w:fill="auto"/>
                <w:lang w:val="en-US" w:eastAsia="zh-CN"/>
              </w:rPr>
            </w:pPr>
            <w:r>
              <w:rPr>
                <w:rFonts w:hint="eastAsia" w:ascii="宋体" w:hAnsi="宋体" w:eastAsia="宋体" w:cs="宋体"/>
                <w:color w:val="auto"/>
                <w:kern w:val="2"/>
                <w:sz w:val="24"/>
                <w:szCs w:val="24"/>
                <w:shd w:val="clear" w:color="auto" w:fill="auto"/>
                <w:lang w:val="en-US" w:eastAsia="zh-CN"/>
              </w:rPr>
              <w:t>3</w:t>
            </w:r>
          </w:p>
        </w:tc>
        <w:tc>
          <w:tcPr>
            <w:tcW w:w="3413"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kern w:val="2"/>
                <w:sz w:val="24"/>
                <w:szCs w:val="24"/>
                <w:shd w:val="clear" w:color="auto" w:fill="auto"/>
                <w:lang w:val="en-US" w:eastAsia="zh-CN"/>
              </w:rPr>
            </w:pPr>
            <w:r>
              <w:rPr>
                <w:rFonts w:hint="eastAsia" w:ascii="宋体" w:hAnsi="宋体" w:eastAsia="宋体" w:cs="宋体"/>
                <w:color w:val="auto"/>
                <w:kern w:val="2"/>
                <w:sz w:val="24"/>
                <w:szCs w:val="24"/>
                <w:shd w:val="clear" w:color="auto" w:fill="auto"/>
                <w:lang w:val="en-US" w:eastAsia="zh-CN"/>
              </w:rPr>
              <w:t>6</w:t>
            </w:r>
          </w:p>
        </w:tc>
        <w:tc>
          <w:tcPr>
            <w:tcW w:w="95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3016"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eastAsia="zh-CN"/>
              </w:rPr>
            </w:pPr>
            <w:r>
              <w:rPr>
                <w:rFonts w:hint="eastAsia" w:ascii="宋体" w:hAnsi="宋体" w:eastAsia="宋体" w:cs="宋体"/>
                <w:color w:val="auto"/>
                <w:sz w:val="24"/>
                <w:szCs w:val="24"/>
                <w:shd w:val="clear" w:color="auto" w:fill="auto"/>
                <w:lang w:eastAsia="zh-CN"/>
              </w:rPr>
              <w:t>餐饮服务管理（</w:t>
            </w:r>
            <w:r>
              <w:rPr>
                <w:rFonts w:hint="eastAsia" w:ascii="宋体" w:hAnsi="宋体" w:eastAsia="宋体" w:cs="宋体"/>
                <w:color w:val="auto"/>
                <w:sz w:val="24"/>
                <w:szCs w:val="24"/>
                <w:shd w:val="clear" w:color="auto" w:fill="auto"/>
                <w:lang w:val="en-US" w:eastAsia="zh-CN"/>
              </w:rPr>
              <w:t>2分</w:t>
            </w:r>
            <w:r>
              <w:rPr>
                <w:rFonts w:hint="eastAsia" w:ascii="宋体" w:hAnsi="宋体" w:eastAsia="宋体" w:cs="宋体"/>
                <w:color w:val="auto"/>
                <w:sz w:val="24"/>
                <w:szCs w:val="24"/>
                <w:shd w:val="clear" w:color="auto" w:fill="auto"/>
                <w:lang w:eastAsia="zh-CN"/>
              </w:rPr>
              <w:t>）</w:t>
            </w:r>
          </w:p>
        </w:tc>
        <w:tc>
          <w:tcPr>
            <w:tcW w:w="17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分值</w:t>
            </w:r>
          </w:p>
        </w:tc>
        <w:tc>
          <w:tcPr>
            <w:tcW w:w="7082"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2</w:t>
            </w:r>
          </w:p>
        </w:tc>
        <w:tc>
          <w:tcPr>
            <w:tcW w:w="9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20"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3016"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eastAsia="zh-CN"/>
              </w:rPr>
              <w:t>餐饮服务连锁管理</w:t>
            </w: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val="en-US" w:eastAsia="zh-CN"/>
              </w:rPr>
              <w:t>4</w:t>
            </w:r>
            <w:r>
              <w:rPr>
                <w:rFonts w:hint="eastAsia" w:ascii="宋体" w:hAnsi="宋体" w:eastAsia="宋体" w:cs="宋体"/>
                <w:color w:val="auto"/>
                <w:sz w:val="24"/>
                <w:szCs w:val="24"/>
                <w:shd w:val="clear" w:color="auto" w:fill="auto"/>
              </w:rPr>
              <w:t>分）</w:t>
            </w:r>
          </w:p>
        </w:tc>
        <w:tc>
          <w:tcPr>
            <w:tcW w:w="170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分值</w:t>
            </w:r>
          </w:p>
        </w:tc>
        <w:tc>
          <w:tcPr>
            <w:tcW w:w="7082"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4</w:t>
            </w:r>
          </w:p>
        </w:tc>
        <w:tc>
          <w:tcPr>
            <w:tcW w:w="95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6137" w:type="dxa"/>
            <w:gridSpan w:val="4"/>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得分总和</w:t>
            </w:r>
          </w:p>
        </w:tc>
        <w:tc>
          <w:tcPr>
            <w:tcW w:w="8036" w:type="dxa"/>
            <w:gridSpan w:val="5"/>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397" w:hRule="atLeast"/>
          <w:jc w:val="center"/>
        </w:trPr>
        <w:tc>
          <w:tcPr>
            <w:tcW w:w="14173" w:type="dxa"/>
            <w:gridSpan w:val="9"/>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320" w:lineRule="exact"/>
              <w:ind w:firstLine="0" w:firstLineChars="0"/>
              <w:jc w:val="left"/>
              <w:textAlignment w:val="auto"/>
              <w:rPr>
                <w:rFonts w:hint="eastAsia" w:ascii="楷体_GB2312" w:hAnsi="楷体_GB2312" w:eastAsia="楷体_GB2312" w:cs="楷体_GB2312"/>
                <w:sz w:val="28"/>
                <w:szCs w:val="28"/>
              </w:rPr>
            </w:pPr>
            <w:r>
              <w:rPr>
                <w:rFonts w:hint="eastAsia" w:ascii="楷体_GB2312" w:hAnsi="楷体_GB2312" w:eastAsia="楷体_GB2312" w:cs="楷体_GB2312"/>
                <w:sz w:val="28"/>
                <w:szCs w:val="28"/>
              </w:rPr>
              <w:t>备注：</w:t>
            </w:r>
          </w:p>
          <w:p>
            <w:pPr>
              <w:keepNext w:val="0"/>
              <w:keepLines w:val="0"/>
              <w:pageBreakBefore w:val="0"/>
              <w:widowControl w:val="0"/>
              <w:kinsoku/>
              <w:wordWrap/>
              <w:overflowPunct w:val="0"/>
              <w:topLinePunct w:val="0"/>
              <w:autoSpaceDE/>
              <w:autoSpaceDN/>
              <w:bidi w:val="0"/>
              <w:adjustRightInd w:val="0"/>
              <w:snapToGrid w:val="0"/>
              <w:spacing w:line="320" w:lineRule="exact"/>
              <w:ind w:firstLine="0" w:firstLineChars="0"/>
              <w:jc w:val="left"/>
              <w:textAlignment w:val="auto"/>
              <w:rPr>
                <w:rFonts w:hint="eastAsia" w:ascii="楷体_GB2312" w:hAnsi="楷体_GB2312" w:eastAsia="楷体_GB2312" w:cs="楷体_GB2312"/>
                <w:sz w:val="28"/>
                <w:szCs w:val="28"/>
              </w:rPr>
            </w:pPr>
            <w:r>
              <w:rPr>
                <w:rFonts w:hint="eastAsia" w:ascii="楷体_GB2312" w:hAnsi="楷体_GB2312" w:eastAsia="楷体_GB2312" w:cs="楷体_GB2312"/>
                <w:sz w:val="28"/>
                <w:szCs w:val="28"/>
              </w:rPr>
              <w:t>注1：各项评分总和为40分。因实际情况存在缺项情形的，该项评分为“0”。</w:t>
            </w:r>
          </w:p>
          <w:p>
            <w:pPr>
              <w:keepNext w:val="0"/>
              <w:keepLines w:val="0"/>
              <w:pageBreakBefore w:val="0"/>
              <w:widowControl w:val="0"/>
              <w:kinsoku/>
              <w:wordWrap/>
              <w:overflowPunct w:val="0"/>
              <w:topLinePunct w:val="0"/>
              <w:autoSpaceDE/>
              <w:autoSpaceDN/>
              <w:bidi w:val="0"/>
              <w:adjustRightInd w:val="0"/>
              <w:snapToGrid w:val="0"/>
              <w:spacing w:line="320" w:lineRule="exact"/>
              <w:ind w:firstLine="0" w:firstLineChars="0"/>
              <w:jc w:val="left"/>
              <w:textAlignment w:val="auto"/>
              <w:rPr>
                <w:rFonts w:hint="eastAsia" w:ascii="宋体" w:hAnsi="宋体" w:eastAsia="宋体" w:cs="宋体"/>
                <w:sz w:val="24"/>
                <w:szCs w:val="24"/>
                <w:lang w:val="en-US" w:eastAsia="zh-CN"/>
              </w:rPr>
            </w:pPr>
            <w:r>
              <w:rPr>
                <w:rFonts w:hint="eastAsia" w:ascii="楷体_GB2312" w:hAnsi="楷体_GB2312" w:eastAsia="楷体_GB2312" w:cs="楷体_GB2312"/>
                <w:sz w:val="28"/>
                <w:szCs w:val="28"/>
              </w:rPr>
              <w:t>注</w:t>
            </w:r>
            <w:r>
              <w:rPr>
                <w:rFonts w:hint="eastAsia" w:ascii="楷体_GB2312" w:hAnsi="楷体_GB2312" w:eastAsia="楷体_GB2312" w:cs="楷体_GB2312"/>
                <w:sz w:val="28"/>
                <w:szCs w:val="28"/>
                <w:lang w:val="en-US" w:eastAsia="zh-CN"/>
              </w:rPr>
              <w:t>2</w:t>
            </w:r>
            <w:r>
              <w:rPr>
                <w:rFonts w:hint="eastAsia" w:ascii="楷体_GB2312" w:hAnsi="楷体_GB2312" w:eastAsia="楷体_GB2312" w:cs="楷体_GB2312"/>
                <w:sz w:val="28"/>
                <w:szCs w:val="28"/>
              </w:rPr>
              <w:t>：难以明确归类的食品，可按食品安全风险等级最高的情形进行归类。</w:t>
            </w:r>
          </w:p>
        </w:tc>
      </w:tr>
    </w:tbl>
    <w:p>
      <w:pPr>
        <w:sectPr>
          <w:pgSz w:w="16838" w:h="11906" w:orient="landscape"/>
          <w:pgMar w:top="1134" w:right="1417" w:bottom="1134" w:left="1417" w:header="851" w:footer="283" w:gutter="0"/>
          <w:pgBorders>
            <w:top w:val="none" w:sz="0" w:space="0"/>
            <w:left w:val="none" w:sz="0" w:space="0"/>
            <w:bottom w:val="none" w:sz="0" w:space="0"/>
            <w:right w:val="none" w:sz="0" w:space="0"/>
          </w:pgBorders>
          <w:pgNumType w:fmt="decimal"/>
          <w:cols w:space="720" w:num="1"/>
          <w:docGrid w:type="lines" w:linePitch="312" w:charSpace="0"/>
        </w:sectPr>
      </w:pPr>
    </w:p>
    <w:p>
      <w:pPr>
        <w:keepNext w:val="0"/>
        <w:keepLines w:val="0"/>
        <w:pageBreakBefore w:val="0"/>
        <w:widowControl w:val="0"/>
        <w:kinsoku/>
        <w:wordWrap/>
        <w:overflowPunct w:val="0"/>
        <w:topLinePunct w:val="0"/>
        <w:autoSpaceDE/>
        <w:autoSpaceDN/>
        <w:bidi w:val="0"/>
        <w:adjustRightInd w:val="0"/>
        <w:snapToGrid w:val="0"/>
        <w:spacing w:line="560" w:lineRule="exact"/>
        <w:textAlignment w:val="auto"/>
        <w:rPr>
          <w:rFonts w:hint="eastAsia" w:ascii="黑体" w:hAnsi="黑体" w:eastAsia="黑体" w:cs="黑体"/>
          <w:snapToGrid w:val="0"/>
          <w:spacing w:val="0"/>
          <w:kern w:val="0"/>
          <w:sz w:val="32"/>
          <w:szCs w:val="32"/>
          <w:lang w:val="en-US" w:eastAsia="zh-CN"/>
        </w:rPr>
      </w:pPr>
      <w:r>
        <w:rPr>
          <w:rFonts w:hint="eastAsia" w:ascii="黑体" w:hAnsi="黑体" w:eastAsia="黑体" w:cs="黑体"/>
          <w:snapToGrid w:val="0"/>
          <w:spacing w:val="0"/>
          <w:kern w:val="0"/>
          <w:sz w:val="32"/>
          <w:szCs w:val="32"/>
          <w:lang w:val="en-US" w:eastAsia="zh-CN"/>
        </w:rPr>
        <w:t>附件4-2</w:t>
      </w:r>
    </w:p>
    <w:p>
      <w:pPr>
        <w:keepNext w:val="0"/>
        <w:keepLines w:val="0"/>
        <w:pageBreakBefore w:val="0"/>
        <w:widowControl w:val="0"/>
        <w:kinsoku/>
        <w:wordWrap/>
        <w:overflowPunct w:val="0"/>
        <w:topLinePunct w:val="0"/>
        <w:autoSpaceDE/>
        <w:autoSpaceDN/>
        <w:bidi w:val="0"/>
        <w:adjustRightInd w:val="0"/>
        <w:snapToGrid w:val="0"/>
        <w:spacing w:line="560" w:lineRule="exact"/>
        <w:textAlignment w:val="auto"/>
        <w:rPr>
          <w:rFonts w:hint="eastAsia" w:ascii="Calibri" w:hAnsi="Calibri" w:eastAsia="宋体" w:cs="黑体"/>
          <w:snapToGrid w:val="0"/>
          <w:spacing w:val="0"/>
          <w:kern w:val="0"/>
          <w:sz w:val="32"/>
          <w:szCs w:val="32"/>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default" w:ascii="Times New Roman" w:hAnsi="Times New Roman" w:eastAsia="方正小标宋简体" w:cs="Times New Roman"/>
          <w:snapToGrid w:val="0"/>
          <w:color w:val="000000"/>
          <w:spacing w:val="0"/>
          <w:kern w:val="0"/>
          <w:sz w:val="44"/>
          <w:szCs w:val="44"/>
          <w:highlight w:val="none"/>
          <w:lang w:eastAsia="en-US" w:bidi="en-US"/>
        </w:rPr>
      </w:pPr>
      <w:r>
        <w:rPr>
          <w:rFonts w:hint="eastAsia" w:ascii="Times New Roman" w:hAnsi="Times New Roman" w:eastAsia="方正小标宋简体" w:cs="Times New Roman"/>
          <w:snapToGrid w:val="0"/>
          <w:color w:val="000000"/>
          <w:spacing w:val="0"/>
          <w:kern w:val="0"/>
          <w:sz w:val="44"/>
          <w:szCs w:val="44"/>
          <w:highlight w:val="none"/>
          <w:lang w:val="en-US" w:eastAsia="zh-CN" w:bidi="en-US"/>
        </w:rPr>
        <w:t>餐饮服务提供者</w:t>
      </w:r>
      <w:r>
        <w:rPr>
          <w:rFonts w:hint="default" w:ascii="Times New Roman" w:hAnsi="Times New Roman" w:eastAsia="方正小标宋简体" w:cs="Times New Roman"/>
          <w:snapToGrid w:val="0"/>
          <w:color w:val="000000"/>
          <w:spacing w:val="0"/>
          <w:kern w:val="0"/>
          <w:sz w:val="44"/>
          <w:szCs w:val="44"/>
          <w:highlight w:val="none"/>
          <w:lang w:eastAsia="zh-CN" w:bidi="en-US"/>
        </w:rPr>
        <w:t>动态风险因素量化分值</w:t>
      </w:r>
      <w:r>
        <w:rPr>
          <w:rFonts w:hint="default" w:ascii="Times New Roman" w:hAnsi="Times New Roman" w:eastAsia="方正小标宋简体" w:cs="Times New Roman"/>
          <w:snapToGrid w:val="0"/>
          <w:color w:val="000000"/>
          <w:spacing w:val="0"/>
          <w:kern w:val="0"/>
          <w:sz w:val="44"/>
          <w:szCs w:val="44"/>
          <w:highlight w:val="none"/>
          <w:lang w:eastAsia="en-US" w:bidi="en-US"/>
        </w:rPr>
        <w:t>表</w:t>
      </w: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eastAsia" w:ascii="楷体_GB2312" w:hAnsi="楷体_GB2312" w:eastAsia="楷体_GB2312" w:cs="楷体_GB2312"/>
          <w:b/>
          <w:bCs/>
          <w:snapToGrid w:val="0"/>
          <w:color w:val="000000"/>
          <w:spacing w:val="0"/>
          <w:kern w:val="0"/>
          <w:sz w:val="32"/>
          <w:szCs w:val="32"/>
          <w:highlight w:val="none"/>
          <w:lang w:eastAsia="zh-CN" w:bidi="en-US"/>
        </w:rPr>
      </w:pPr>
      <w:r>
        <w:rPr>
          <w:rFonts w:hint="eastAsia" w:ascii="楷体_GB2312" w:hAnsi="楷体_GB2312" w:eastAsia="楷体_GB2312" w:cs="楷体_GB2312"/>
          <w:b/>
          <w:bCs/>
          <w:snapToGrid w:val="0"/>
          <w:color w:val="000000"/>
          <w:spacing w:val="0"/>
          <w:kern w:val="0"/>
          <w:sz w:val="32"/>
          <w:szCs w:val="32"/>
          <w:highlight w:val="none"/>
          <w:lang w:eastAsia="zh-CN" w:bidi="en-US"/>
        </w:rPr>
        <w:t>（日常监督检查要点表）</w:t>
      </w:r>
    </w:p>
    <w:p>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eastAsia" w:ascii="楷体_GB2312" w:hAnsi="楷体_GB2312" w:eastAsia="楷体_GB2312" w:cs="楷体_GB2312"/>
          <w:b/>
          <w:bCs/>
          <w:snapToGrid w:val="0"/>
          <w:color w:val="000000"/>
          <w:spacing w:val="0"/>
          <w:kern w:val="0"/>
          <w:sz w:val="32"/>
          <w:szCs w:val="32"/>
          <w:highlight w:val="none"/>
          <w:lang w:eastAsia="zh-CN" w:bidi="en-US"/>
        </w:rPr>
      </w:pP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eastAsia" w:ascii="黑体" w:hAnsi="黑体" w:eastAsia="黑体" w:cs="黑体"/>
          <w:snapToGrid w:val="0"/>
          <w:color w:val="000000"/>
          <w:spacing w:val="0"/>
          <w:kern w:val="0"/>
          <w:sz w:val="28"/>
          <w:szCs w:val="28"/>
          <w:highlight w:val="none"/>
          <w:lang w:eastAsia="zh-CN"/>
        </w:rPr>
      </w:pPr>
      <w:r>
        <w:rPr>
          <w:rFonts w:hint="eastAsia" w:ascii="黑体" w:hAnsi="黑体" w:eastAsia="黑体" w:cs="黑体"/>
          <w:i w:val="0"/>
          <w:iCs w:val="0"/>
          <w:snapToGrid w:val="0"/>
          <w:color w:val="000000"/>
          <w:spacing w:val="0"/>
          <w:kern w:val="0"/>
          <w:sz w:val="28"/>
          <w:szCs w:val="28"/>
          <w:highlight w:val="none"/>
          <w:u w:val="none"/>
          <w:lang w:val="en-US" w:eastAsia="zh-CN" w:bidi="ar"/>
        </w:rPr>
        <w:t>检查对象名称：</w:t>
      </w:r>
      <w:r>
        <w:rPr>
          <w:rStyle w:val="18"/>
          <w:rFonts w:hint="eastAsia" w:ascii="黑体" w:hAnsi="黑体" w:eastAsia="黑体" w:cs="黑体"/>
          <w:snapToGrid w:val="0"/>
          <w:spacing w:val="0"/>
          <w:kern w:val="0"/>
          <w:sz w:val="28"/>
          <w:szCs w:val="28"/>
          <w:highlight w:val="none"/>
          <w:lang w:val="en-US" w:eastAsia="zh-CN" w:bidi="ar"/>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 xml:space="preserve">    社会信用代码/注册号</w:t>
      </w:r>
      <w:r>
        <w:rPr>
          <w:rFonts w:hint="eastAsia" w:ascii="黑体" w:hAnsi="黑体" w:eastAsia="黑体" w:cs="黑体"/>
          <w:bCs/>
          <w:snapToGrid w:val="0"/>
          <w:spacing w:val="0"/>
          <w:kern w:val="0"/>
          <w:sz w:val="28"/>
          <w:szCs w:val="28"/>
        </w:rPr>
        <w:t>：</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bCs/>
          <w:snapToGrid w:val="0"/>
          <w:spacing w:val="0"/>
          <w:kern w:val="0"/>
          <w:sz w:val="28"/>
          <w:szCs w:val="28"/>
          <w:u w:val="single"/>
          <w:lang w:val="en-US" w:eastAsia="zh-CN"/>
        </w:rPr>
        <w:t xml:space="preserve">      </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bCs/>
          <w:snapToGrid w:val="0"/>
          <w:spacing w:val="0"/>
          <w:kern w:val="0"/>
          <w:sz w:val="28"/>
          <w:szCs w:val="28"/>
          <w:u w:val="single"/>
          <w:lang w:val="en-US" w:eastAsia="zh-CN"/>
        </w:rPr>
        <w:t xml:space="preserve"> </w:t>
      </w:r>
      <w:r>
        <w:rPr>
          <w:rFonts w:hint="eastAsia" w:ascii="黑体" w:hAnsi="黑体" w:eastAsia="黑体" w:cs="黑体"/>
          <w:bCs/>
          <w:snapToGrid w:val="0"/>
          <w:spacing w:val="0"/>
          <w:kern w:val="0"/>
          <w:sz w:val="28"/>
          <w:szCs w:val="28"/>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 xml:space="preserve">    时间：</w:t>
      </w:r>
      <w:r>
        <w:rPr>
          <w:rStyle w:val="18"/>
          <w:rFonts w:hint="eastAsia" w:ascii="黑体" w:hAnsi="黑体" w:eastAsia="黑体" w:cs="黑体"/>
          <w:snapToGrid w:val="0"/>
          <w:spacing w:val="0"/>
          <w:kern w:val="0"/>
          <w:sz w:val="28"/>
          <w:szCs w:val="28"/>
          <w:highlight w:val="none"/>
          <w:lang w:val="en-US" w:eastAsia="zh-CN" w:bidi="ar"/>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年</w:t>
      </w:r>
      <w:r>
        <w:rPr>
          <w:rStyle w:val="18"/>
          <w:rFonts w:hint="eastAsia" w:ascii="黑体" w:hAnsi="黑体" w:eastAsia="黑体" w:cs="黑体"/>
          <w:snapToGrid w:val="0"/>
          <w:spacing w:val="0"/>
          <w:kern w:val="0"/>
          <w:sz w:val="28"/>
          <w:szCs w:val="28"/>
          <w:highlight w:val="none"/>
          <w:lang w:val="en-US" w:eastAsia="zh-CN" w:bidi="ar"/>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月</w:t>
      </w:r>
      <w:r>
        <w:rPr>
          <w:rStyle w:val="18"/>
          <w:rFonts w:hint="eastAsia" w:ascii="黑体" w:hAnsi="黑体" w:eastAsia="黑体" w:cs="黑体"/>
          <w:snapToGrid w:val="0"/>
          <w:spacing w:val="0"/>
          <w:kern w:val="0"/>
          <w:sz w:val="28"/>
          <w:szCs w:val="28"/>
          <w:highlight w:val="none"/>
          <w:lang w:val="en-US" w:eastAsia="zh-CN" w:bidi="ar"/>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日</w:t>
      </w:r>
    </w:p>
    <w:tbl>
      <w:tblPr>
        <w:tblStyle w:val="9"/>
        <w:tblW w:w="14173" w:type="dxa"/>
        <w:jc w:val="center"/>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544"/>
        <w:gridCol w:w="865"/>
        <w:gridCol w:w="7091"/>
        <w:gridCol w:w="1669"/>
        <w:gridCol w:w="1346"/>
        <w:gridCol w:w="819"/>
        <w:gridCol w:w="839"/>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72" w:hRule="atLeast"/>
          <w:jc w:val="center"/>
        </w:trPr>
        <w:tc>
          <w:tcPr>
            <w:tcW w:w="154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检查项目</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序号</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检查内容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检查结果</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备注</w:t>
            </w:r>
          </w:p>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40分封顶</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得分</w:t>
            </w: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存在问题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r>
              <w:rPr>
                <w:rFonts w:hint="eastAsia" w:ascii="仿宋_GB2312" w:hAnsi="仿宋_GB2312" w:eastAsia="仿宋_GB2312" w:cs="仿宋_GB2312"/>
                <w:snapToGrid w:val="0"/>
                <w:color w:val="000000"/>
                <w:spacing w:val="0"/>
                <w:kern w:val="0"/>
                <w:sz w:val="24"/>
                <w:szCs w:val="24"/>
                <w:lang w:eastAsia="zh-CN" w:bidi="ar-SA"/>
              </w:rPr>
              <w:t>餐饮服务提供者资质</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食品经营许可证合法有效、与经营场所（实体门店）地址一致。</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未超出许可经营项目开展餐饮服务活动。</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83"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2.信息公示</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2.1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在经营场所的显著位置悬挂或者摆放食品经营许可证正本，或以电子形式公示。</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295"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2.2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曾开展过日常监督检查的餐饮服务提供者，按规定在经营场所醒目位置张贴或者公开展示对消费者有重要影响的监督检查结果记录表。</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2.3</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公示从事接触直接入口食品工作的从业人员的有效健康证明。</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83"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2.4</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入网餐饮服务提供者</w:t>
            </w:r>
            <w:r>
              <w:rPr>
                <w:rFonts w:hint="eastAsia" w:ascii="仿宋_GB2312" w:hAnsi="仿宋_GB2312" w:eastAsia="仿宋_GB2312" w:cs="仿宋_GB2312"/>
                <w:snapToGrid w:val="0"/>
                <w:color w:val="000000"/>
                <w:spacing w:val="0"/>
                <w:kern w:val="0"/>
                <w:sz w:val="24"/>
                <w:szCs w:val="24"/>
                <w:highlight w:val="none"/>
                <w:lang w:eastAsia="zh-CN" w:bidi="ar-SA"/>
              </w:rPr>
              <w:t>在线上经</w:t>
            </w:r>
            <w:r>
              <w:rPr>
                <w:rFonts w:hint="eastAsia" w:ascii="仿宋_GB2312" w:hAnsi="仿宋_GB2312" w:eastAsia="仿宋_GB2312" w:cs="仿宋_GB2312"/>
                <w:snapToGrid w:val="0"/>
                <w:color w:val="000000"/>
                <w:spacing w:val="0"/>
                <w:kern w:val="0"/>
                <w:sz w:val="24"/>
                <w:szCs w:val="24"/>
                <w:lang w:eastAsia="zh-CN" w:bidi="ar-SA"/>
              </w:rPr>
              <w:t>营活动主页面公示餐饮服务提供者名称、地址、食品经营许可证等信息，公示信息真实，及时更新。</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检查项目</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序号</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检查内容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检查结果</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备注</w:t>
            </w:r>
          </w:p>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40分封顶</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得分</w:t>
            </w: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存在问题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3.从业人员健康管理</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3.1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制定从业人员健康管理制度。</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72"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3.2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餐饮服务企业对各岗位从业人员进行相应的食品安全知识培训，做好培训记录。</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26"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*3.3</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有每日健康检查（晨检）记录。从事接触直接入口食品工作的从业人员持有有效的健康证明，未患有碍食品安全病症或手部有伤口。</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5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3.4</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bCs/>
                <w:snapToGrid w:val="0"/>
                <w:color w:val="000000"/>
                <w:spacing w:val="0"/>
                <w:kern w:val="0"/>
                <w:sz w:val="24"/>
                <w:szCs w:val="24"/>
                <w:lang w:val="en-US" w:eastAsia="zh-CN" w:bidi="ar-SA"/>
              </w:rPr>
            </w:pPr>
            <w:r>
              <w:rPr>
                <w:rFonts w:hint="eastAsia" w:ascii="仿宋_GB2312" w:hAnsi="仿宋_GB2312" w:eastAsia="仿宋_GB2312" w:cs="仿宋_GB2312"/>
                <w:bCs/>
                <w:snapToGrid w:val="0"/>
                <w:color w:val="000000"/>
                <w:spacing w:val="0"/>
                <w:kern w:val="0"/>
                <w:sz w:val="24"/>
                <w:szCs w:val="24"/>
                <w:lang w:eastAsia="zh-CN" w:bidi="ar-SA"/>
              </w:rPr>
              <w:t>在岗从业人员保持良好个人卫生，手部清洁，无留长指甲、涂指甲油、饰物外露等情形。</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26"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3.5</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在岗从业人员穿戴洁净的工作衣帽。专间、专用操作区和其他操作区的从业人员工作服有明显区分。</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26"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3.6</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专间及专用操作区内的从业人员操作时，佩戴清洁的口罩，口罩遮住口鼻。</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42"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4.</w:t>
            </w:r>
            <w:r>
              <w:rPr>
                <w:rFonts w:hint="eastAsia" w:ascii="仿宋_GB2312" w:hAnsi="仿宋_GB2312" w:eastAsia="仿宋_GB2312" w:cs="仿宋_GB2312"/>
                <w:snapToGrid w:val="0"/>
                <w:color w:val="000000"/>
                <w:spacing w:val="0"/>
                <w:kern w:val="0"/>
                <w:sz w:val="24"/>
                <w:szCs w:val="24"/>
                <w:lang w:eastAsia="zh-CN" w:bidi="ar-SA"/>
              </w:rPr>
              <w:t>原料控制（含食品添加剂、食品相关产品）</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4.1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随机抽查的餐饮服务提供者的食品、食品添加剂、食品相关产品有进货查验记录和合格证明文件。</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26"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4.2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食品贮存区不存在食品与非食品混放情形，未存放有毒有害物质；食品贮存符合分类、分架、离墙、离地、有标识等要求。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502"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*4.3</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需冷冻（藏）的食品原料、半成品和成品及时按要求进行冷冻（藏）。冷冻（藏）设施中的食品不存在原料、半成品、成品混放等情形；冷冻（藏）设施设有可正确显示内部温度的测温装置，冷冻（藏）温度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检查项目</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序号</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检查内容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检查结果</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备注</w:t>
            </w:r>
          </w:p>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40分封顶</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得分</w:t>
            </w: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存在问题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95"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4.</w:t>
            </w:r>
            <w:r>
              <w:rPr>
                <w:rFonts w:hint="eastAsia" w:ascii="仿宋_GB2312" w:hAnsi="仿宋_GB2312" w:eastAsia="仿宋_GB2312" w:cs="仿宋_GB2312"/>
                <w:snapToGrid w:val="0"/>
                <w:color w:val="000000"/>
                <w:spacing w:val="0"/>
                <w:kern w:val="0"/>
                <w:sz w:val="24"/>
                <w:szCs w:val="24"/>
                <w:lang w:eastAsia="zh-CN" w:bidi="ar-SA"/>
              </w:rPr>
              <w:t>原料控制（含食品添加剂、食品相关产品）</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*4.4</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现场未查见无标签标识、无法说明来源以及其他明令禁止生产经营的物质。</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046"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4.5</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特定餐饮服务提供者建立供货者评价和退出机制，自行或委托第三方机构定期对供货者食品安全状况进行现场评价。</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029"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4.6</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在加工间和贮存设施内随机抽查的食品原料感官性状无异常、食品包装和标签标识符合要求。未采购、贮存、使用散装食盐。</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42"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4.7</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对变质、超过保质期或者回收的食品进行显著标示或者单独存放在有明确标志的场所，及时进行无害化处理、销毁等，并如实记录。</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222"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*4.8</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食品加工用水水质符合生活饮用水卫生标准。加工制作现榨果蔬汁和食用冰等直接入口食品的用水通过净水设施处理，或使用预包装饮用水、煮沸冷却后的生活饮用水。</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10"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bCs/>
                <w:snapToGrid w:val="0"/>
                <w:color w:val="000000"/>
                <w:spacing w:val="0"/>
                <w:kern w:val="0"/>
                <w:sz w:val="24"/>
                <w:szCs w:val="24"/>
                <w:lang w:val="en-US" w:eastAsia="zh-CN" w:bidi="ar-SA"/>
              </w:rPr>
              <w:t>5.</w:t>
            </w:r>
            <w:r>
              <w:rPr>
                <w:rFonts w:hint="eastAsia" w:ascii="仿宋_GB2312" w:hAnsi="仿宋_GB2312" w:eastAsia="仿宋_GB2312" w:cs="仿宋_GB2312"/>
                <w:bCs/>
                <w:snapToGrid w:val="0"/>
                <w:color w:val="000000"/>
                <w:spacing w:val="0"/>
                <w:kern w:val="0"/>
                <w:sz w:val="24"/>
                <w:szCs w:val="24"/>
                <w:lang w:eastAsia="zh-CN" w:bidi="ar-SA"/>
              </w:rPr>
              <w:t>加工制作过程</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5.1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bCs/>
                <w:snapToGrid w:val="0"/>
                <w:color w:val="000000"/>
                <w:spacing w:val="0"/>
                <w:kern w:val="0"/>
                <w:sz w:val="24"/>
                <w:szCs w:val="24"/>
                <w:lang w:eastAsia="zh-CN" w:bidi="ar-SA"/>
              </w:rPr>
            </w:pPr>
            <w:r>
              <w:rPr>
                <w:rFonts w:hint="eastAsia" w:ascii="仿宋_GB2312" w:hAnsi="仿宋_GB2312" w:eastAsia="仿宋_GB2312" w:cs="仿宋_GB2312"/>
                <w:bCs/>
                <w:snapToGrid w:val="0"/>
                <w:color w:val="000000"/>
                <w:spacing w:val="0"/>
                <w:kern w:val="0"/>
                <w:sz w:val="24"/>
                <w:szCs w:val="24"/>
                <w:lang w:eastAsia="zh-CN" w:bidi="ar-SA"/>
              </w:rPr>
              <w:t>具有与其加工制作的食品品种、数量相适应的加工场所及设施设备等。</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Cs/>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Cs/>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65"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*5.2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bCs/>
                <w:snapToGrid w:val="0"/>
                <w:color w:val="000000"/>
                <w:spacing w:val="0"/>
                <w:kern w:val="0"/>
                <w:sz w:val="24"/>
                <w:szCs w:val="24"/>
                <w:lang w:eastAsia="zh-CN" w:bidi="ar-SA"/>
              </w:rPr>
              <w:t>原料、半成品、成品及其盛放容器和加工制作工具区分标识明显、分开放置和使用；防止食品交叉污染的措施有效。</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635"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*5.3</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bCs/>
                <w:snapToGrid w:val="0"/>
                <w:color w:val="000000"/>
                <w:spacing w:val="0"/>
                <w:kern w:val="0"/>
                <w:sz w:val="24"/>
                <w:szCs w:val="24"/>
                <w:lang w:eastAsia="zh-CN" w:bidi="ar-SA"/>
              </w:rPr>
              <w:t>不存在《食品安全法》等法律、法规禁止的行为。</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42"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5.4</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食品原料洗净后使用。各类水池有明显标识标明用途，分类清洗动物性食品、植物性食品和水产品。未经清洁的禽蛋使用前清洁外壳。</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检查项目</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序号</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检查内容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检查结果</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备注</w:t>
            </w:r>
          </w:p>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40分封顶</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得分</w:t>
            </w: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存在问题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280"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bCs/>
                <w:snapToGrid w:val="0"/>
                <w:color w:val="000000"/>
                <w:spacing w:val="0"/>
                <w:kern w:val="0"/>
                <w:sz w:val="24"/>
                <w:szCs w:val="24"/>
                <w:lang w:val="en-US" w:eastAsia="zh-CN" w:bidi="ar-SA"/>
              </w:rPr>
              <w:t>5.</w:t>
            </w:r>
            <w:r>
              <w:rPr>
                <w:rFonts w:hint="eastAsia" w:ascii="仿宋_GB2312" w:hAnsi="仿宋_GB2312" w:eastAsia="仿宋_GB2312" w:cs="仿宋_GB2312"/>
                <w:bCs/>
                <w:snapToGrid w:val="0"/>
                <w:color w:val="000000"/>
                <w:spacing w:val="0"/>
                <w:kern w:val="0"/>
                <w:sz w:val="24"/>
                <w:szCs w:val="24"/>
                <w:lang w:eastAsia="zh-CN" w:bidi="ar-SA"/>
              </w:rPr>
              <w:t>加工制作过程</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5.5</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盛放调味料的容器保持清洁，加盖存放。煎炸油的色泽、气味、状态无异常，必要时进行检测。油炸类食品、烧烤类食品、火锅类食品、糕点类食品、自制饮品等加工过程符合要求。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*5.6</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专间及专用操作区的标识、设施、人员及操作符合要求。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595"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5.7</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学校（含托幼机构）食堂、养老机构食堂、医疗机构食堂、建筑工地食堂等集中用餐单位的食堂以及中央厨房、集体用餐配送单位、一次性集体聚餐人数超过100人或为重大活动供餐的餐饮服务提供者，按规定留样。</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81"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*5.8</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中小学、幼儿园食堂未制售冷荤类食品、生食类食品、裱花蛋糕，未加工制作四季豆、鲜黄花菜、野生蘑菇、发芽土豆等高风险食品，未设置酒销售点。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6.食品添加剂使用管理</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6.1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食品添加剂存放、使用、管理符合要求。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*6.2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未采购、贮存、使用亚硝酸盐等国家禁止在餐饮业使用的品种。</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269"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7.</w:t>
            </w:r>
            <w:r>
              <w:rPr>
                <w:rFonts w:hint="eastAsia" w:ascii="仿宋_GB2312" w:hAnsi="仿宋_GB2312" w:eastAsia="仿宋_GB2312" w:cs="仿宋_GB2312"/>
                <w:snapToGrid w:val="0"/>
                <w:color w:val="000000"/>
                <w:spacing w:val="0"/>
                <w:kern w:val="0"/>
                <w:sz w:val="24"/>
                <w:szCs w:val="24"/>
                <w:lang w:eastAsia="zh-CN" w:bidi="ar-SA"/>
              </w:rPr>
              <w:t>备餐、供餐与配送</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*7.1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备餐场所、备餐人员个人卫生、盛装食品成品的容器和分派菜肴整理造型的工具、菜肴围边和盘花符合要求。食品存放温度和时间符合要求。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Cs/>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269"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7.2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采取有效措施，防止供餐过程中食品受到污染。学校食堂就餐区或者就餐区附近应当设置供用餐者清洗手部以及餐具、饮具的用水设施。</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Cs/>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检查项目</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序号</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检查内容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检查结果</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备注</w:t>
            </w:r>
          </w:p>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40分封顶</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得分</w:t>
            </w: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存在问题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222"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7.</w:t>
            </w:r>
            <w:r>
              <w:rPr>
                <w:rFonts w:hint="eastAsia" w:ascii="仿宋_GB2312" w:hAnsi="仿宋_GB2312" w:eastAsia="仿宋_GB2312" w:cs="仿宋_GB2312"/>
                <w:snapToGrid w:val="0"/>
                <w:color w:val="000000"/>
                <w:spacing w:val="0"/>
                <w:kern w:val="0"/>
                <w:sz w:val="24"/>
                <w:szCs w:val="24"/>
                <w:lang w:eastAsia="zh-CN" w:bidi="ar-SA"/>
              </w:rPr>
              <w:t>备餐、供餐与配送</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7.3</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具备符合贮存、运输要求的设施设备。食品的传送电梯、配送车辆、存放食品的车厢或配送箱（包）、与食品直接接触的配送容器符合要求。食品配送过程符合要求。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26"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7.4</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中央厨房配送过程中，食品的包装或盛放符合要求，包装或盛放容器上标注的信息符合要求。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11"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7.5</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集体用餐配送单位配送过程中，食品的盛放容器密闭，食品容器上标注的信息符合要求。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269"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7.6</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外卖送餐人员保持个人卫生、配送箱（包）保持清洁。配送箱（包）中，直接入口食品和非直接入口食品、需低温保存的食品和热食品分隔放置，并保证食品温度符合食品安全要求。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95"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bCs/>
                <w:snapToGrid w:val="0"/>
                <w:color w:val="000000"/>
                <w:spacing w:val="0"/>
                <w:kern w:val="0"/>
                <w:sz w:val="24"/>
                <w:szCs w:val="24"/>
                <w:lang w:val="en-US" w:eastAsia="zh-CN" w:bidi="ar-SA"/>
              </w:rPr>
              <w:t>8.</w:t>
            </w:r>
            <w:r>
              <w:rPr>
                <w:rFonts w:hint="eastAsia" w:ascii="仿宋_GB2312" w:hAnsi="仿宋_GB2312" w:eastAsia="仿宋_GB2312" w:cs="仿宋_GB2312"/>
                <w:bCs/>
                <w:snapToGrid w:val="0"/>
                <w:color w:val="000000"/>
                <w:spacing w:val="0"/>
                <w:kern w:val="0"/>
                <w:sz w:val="24"/>
                <w:szCs w:val="24"/>
                <w:lang w:eastAsia="zh-CN" w:bidi="ar-SA"/>
              </w:rPr>
              <w:t>场所和设备设施清洁维护</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Cs/>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8.1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未在餐饮经营场所内饲养、暂养和宰杀畜禽；场所及设施设备布局合理。</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95"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8.2</w:t>
            </w:r>
          </w:p>
        </w:tc>
        <w:tc>
          <w:tcPr>
            <w:tcW w:w="7091" w:type="dxa"/>
            <w:tcBorders>
              <w:tl2br w:val="nil"/>
              <w:tr2bl w:val="nil"/>
            </w:tcBorders>
            <w:vAlign w:val="center"/>
          </w:tcPr>
          <w:p>
            <w:pPr>
              <w:keepNext w:val="0"/>
              <w:keepLines w:val="0"/>
              <w:pageBreakBefore w:val="0"/>
              <w:widowControl w:val="0"/>
              <w:shd w:val="clear" w:color="auto" w:fill="auto"/>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shd w:val="clear" w:color="auto" w:fill="auto"/>
                <w:lang w:eastAsia="zh-CN" w:bidi="ar-SA"/>
              </w:rPr>
              <w:t>保持餐饮经营场所环境清洁，墙壁、天花板、门窗、地面、排水沟、操作台、食品加工用具等无破损、霉斑、积油、积水、污垢等。</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56"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*8.3</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冷冻（藏）、保温、陈列、采光、通风、洗手、消毒、三防等设施设备能正常使用。特定餐饮服务提供者具有设施设备维护记录。</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*8.4</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有害生物防治措施有效，不存在明显的有害生物活动迹象。餐饮服务企业、中央厨房、集体用餐配送单位、学校（含托幼机构）食堂、养老机构食堂、医疗机构食堂有定期除虫灭害记录。</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8.5</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卫生间设置位置符合要求，能够保持清洁。</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8.6</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餐厨废弃物的存放及清理符合要求。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检查项目</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序号</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检查内容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检查结果</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备注</w:t>
            </w:r>
          </w:p>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40分封顶</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得分</w:t>
            </w: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存在问题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911"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9.</w:t>
            </w:r>
            <w:r>
              <w:rPr>
                <w:rFonts w:hint="eastAsia" w:ascii="仿宋_GB2312" w:hAnsi="仿宋_GB2312" w:eastAsia="仿宋_GB2312" w:cs="仿宋_GB2312"/>
                <w:snapToGrid w:val="0"/>
                <w:color w:val="000000"/>
                <w:spacing w:val="0"/>
                <w:kern w:val="0"/>
                <w:sz w:val="24"/>
                <w:szCs w:val="24"/>
                <w:lang w:eastAsia="zh-CN" w:bidi="ar-SA"/>
              </w:rPr>
              <w:t>餐饮具清洗消毒</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9.1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餐用具清洗水池专用，标有明显标识，满足清洗需要。使用的洗涤剂符合食品安全国家标准，包装标识齐全。</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21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bCs/>
                <w:snapToGrid w:val="0"/>
                <w:color w:val="000000"/>
                <w:spacing w:val="0"/>
                <w:kern w:val="0"/>
                <w:sz w:val="24"/>
                <w:szCs w:val="24"/>
                <w:lang w:val="en-US" w:eastAsia="zh-CN" w:bidi="ar-SA"/>
              </w:rPr>
              <w:t>*</w:t>
            </w:r>
            <w:r>
              <w:rPr>
                <w:rFonts w:hint="eastAsia" w:ascii="仿宋_GB2312" w:hAnsi="仿宋_GB2312" w:eastAsia="仿宋_GB2312" w:cs="仿宋_GB2312"/>
                <w:snapToGrid w:val="0"/>
                <w:color w:val="000000"/>
                <w:spacing w:val="0"/>
                <w:kern w:val="0"/>
                <w:sz w:val="24"/>
                <w:szCs w:val="24"/>
                <w:lang w:val="en-US" w:eastAsia="zh-CN" w:bidi="ar-SA"/>
              </w:rPr>
              <w:t>9.2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采用物理消毒的，消毒设施（包括一体化洗碗消毒机）运转正常并能满足消毒需要。采用化学消毒的，使用的消毒剂为正规产品，消毒液使用、配制等符合要求。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9.3</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保洁设施符合相关要求，保洁设施内存放的餐饮具保持清洁。</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56"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bCs/>
                <w:snapToGrid w:val="0"/>
                <w:color w:val="000000"/>
                <w:spacing w:val="0"/>
                <w:kern w:val="0"/>
                <w:sz w:val="24"/>
                <w:szCs w:val="24"/>
                <w:lang w:val="en-US" w:eastAsia="zh-CN" w:bidi="ar-SA"/>
              </w:rPr>
              <w:t>*</w:t>
            </w:r>
            <w:r>
              <w:rPr>
                <w:rFonts w:hint="eastAsia" w:ascii="仿宋_GB2312" w:hAnsi="仿宋_GB2312" w:eastAsia="仿宋_GB2312" w:cs="仿宋_GB2312"/>
                <w:snapToGrid w:val="0"/>
                <w:color w:val="000000"/>
                <w:spacing w:val="0"/>
                <w:kern w:val="0"/>
                <w:sz w:val="24"/>
                <w:szCs w:val="24"/>
                <w:lang w:val="en-US" w:eastAsia="zh-CN" w:bidi="ar-SA"/>
              </w:rPr>
              <w:t>9.4</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使用集中清洗消毒餐饮具的，查验、留存集中消毒服务单位的营业执照复印件和消毒合格证明。餐饮具包装无破损、标识符合要求、在使用期限内。</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bCs/>
                <w:snapToGrid w:val="0"/>
                <w:color w:val="000000"/>
                <w:spacing w:val="0"/>
                <w:kern w:val="0"/>
                <w:sz w:val="24"/>
                <w:szCs w:val="24"/>
                <w:lang w:val="en-US" w:eastAsia="zh-CN" w:bidi="ar-SA"/>
              </w:rPr>
              <w:t>*9.5</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未发现使用未经清洗消毒的餐饮具、重复使用一次性餐饮具。</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26"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bCs/>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10.</w:t>
            </w:r>
            <w:r>
              <w:rPr>
                <w:rFonts w:hint="eastAsia" w:ascii="仿宋_GB2312" w:hAnsi="仿宋_GB2312" w:eastAsia="仿宋_GB2312" w:cs="仿宋_GB2312"/>
                <w:snapToGrid w:val="0"/>
                <w:color w:val="000000"/>
                <w:spacing w:val="0"/>
                <w:kern w:val="0"/>
                <w:sz w:val="24"/>
                <w:szCs w:val="24"/>
                <w:lang w:eastAsia="zh-CN" w:bidi="ar-SA"/>
              </w:rPr>
              <w:t>食品安全管理</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10.1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建立并不断完善健全食品安全管理制度，特定餐饮服务提供者制定加工操作规程。中央厨房、集体用餐配送单位、连锁餐饮企业总部、网络餐饮服务第三方平台提供者设立食品安全管理机构。</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56"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10.2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餐饮服务企业、网络餐饮服务第三方平台提供者、学校（含托幼机构）食堂、养老机构食堂、医疗机构食堂配备专职或兼职食品安全管理人员，留存食品安全管理人员任职文件等证明资料。</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01"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*10.3</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随机对食品安全管理人员抽查考核食品安全知识，结果符合要求。</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864"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10.4</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餐饮服务企业、网络餐饮服务第三方平台提供者、学校（含托幼机构）食堂、养老机构食堂、医疗机构食堂有食品安全事故处置方案。</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检查项目</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eastAsia="zh-CN" w:bidi="ar-SA"/>
              </w:rPr>
              <w:t>序号</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检查内容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检查结果</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eastAsia="zh-CN" w:bidi="ar-SA"/>
              </w:rPr>
            </w:pPr>
            <w:r>
              <w:rPr>
                <w:rFonts w:hint="eastAsia" w:ascii="黑体" w:hAnsi="黑体" w:eastAsia="黑体" w:cs="黑体"/>
                <w:snapToGrid w:val="0"/>
                <w:color w:val="000000"/>
                <w:spacing w:val="0"/>
                <w:kern w:val="0"/>
                <w:sz w:val="24"/>
                <w:szCs w:val="24"/>
                <w:lang w:eastAsia="zh-CN" w:bidi="ar-SA"/>
              </w:rPr>
              <w:t>备注</w:t>
            </w:r>
          </w:p>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40分封顶</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得分</w:t>
            </w: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黑体" w:hAnsi="黑体" w:eastAsia="黑体" w:cs="黑体"/>
                <w:snapToGrid w:val="0"/>
                <w:color w:val="000000"/>
                <w:spacing w:val="0"/>
                <w:kern w:val="0"/>
                <w:sz w:val="24"/>
                <w:szCs w:val="24"/>
                <w:lang w:val="en-US" w:eastAsia="zh-CN" w:bidi="ar-SA"/>
              </w:rPr>
            </w:pPr>
            <w:r>
              <w:rPr>
                <w:rFonts w:hint="eastAsia" w:ascii="黑体" w:hAnsi="黑体" w:eastAsia="黑体" w:cs="黑体"/>
                <w:snapToGrid w:val="0"/>
                <w:color w:val="000000"/>
                <w:spacing w:val="0"/>
                <w:kern w:val="0"/>
                <w:sz w:val="24"/>
                <w:szCs w:val="24"/>
                <w:lang w:val="en-US" w:eastAsia="zh-CN" w:bidi="ar-SA"/>
              </w:rPr>
              <w:t>存在问题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252"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10.</w:t>
            </w:r>
            <w:r>
              <w:rPr>
                <w:rFonts w:hint="eastAsia" w:ascii="仿宋_GB2312" w:hAnsi="仿宋_GB2312" w:eastAsia="仿宋_GB2312" w:cs="仿宋_GB2312"/>
                <w:snapToGrid w:val="0"/>
                <w:color w:val="000000"/>
                <w:spacing w:val="0"/>
                <w:kern w:val="0"/>
                <w:sz w:val="24"/>
                <w:szCs w:val="24"/>
                <w:lang w:eastAsia="zh-CN" w:bidi="ar-SA"/>
              </w:rPr>
              <w:t>食品安全管理</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*10.5</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建立食品安全自查制度，定期对食品安全状况进行检查评价，有食品安全自查记录，自查频次和内容符合相关规定。自查内容真实反映管理现状，及时整改发现的问题。</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191"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10.6</w:t>
            </w:r>
          </w:p>
        </w:tc>
        <w:tc>
          <w:tcPr>
            <w:tcW w:w="7091" w:type="dxa"/>
            <w:tcBorders>
              <w:tl2br w:val="nil"/>
              <w:tr2bl w:val="nil"/>
            </w:tcBorders>
            <w:vAlign w:val="center"/>
          </w:tcPr>
          <w:p>
            <w:pPr>
              <w:keepNext w:val="0"/>
              <w:keepLines w:val="0"/>
              <w:pageBreakBefore w:val="0"/>
              <w:widowControl w:val="0"/>
              <w:shd w:val="clear" w:color="auto" w:fill="auto"/>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中央厨房和集体用餐配送单位自行或委托具有资质的第三方机构定期对大宗食品原料、加工制作环境进行检验检测，有检验检测结果记录。</w:t>
            </w:r>
          </w:p>
        </w:tc>
        <w:tc>
          <w:tcPr>
            <w:tcW w:w="1669" w:type="dxa"/>
            <w:tcBorders>
              <w:tl2br w:val="nil"/>
              <w:tr2bl w:val="nil"/>
            </w:tcBorders>
            <w:vAlign w:val="center"/>
          </w:tcPr>
          <w:p>
            <w:pPr>
              <w:keepNext w:val="0"/>
              <w:keepLines w:val="0"/>
              <w:pageBreakBefore w:val="0"/>
              <w:widowControl w:val="0"/>
              <w:shd w:val="clear" w:color="auto" w:fill="auto"/>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shd w:val="clear" w:color="auto" w:fill="auto"/>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shd w:val="clear" w:color="auto" w:fill="auto"/>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shd w:val="clear" w:color="auto" w:fill="auto"/>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11.</w:t>
            </w:r>
            <w:r>
              <w:rPr>
                <w:rFonts w:hint="eastAsia" w:ascii="仿宋_GB2312" w:hAnsi="仿宋_GB2312" w:eastAsia="仿宋_GB2312" w:cs="仿宋_GB2312"/>
                <w:snapToGrid w:val="0"/>
                <w:color w:val="000000"/>
                <w:spacing w:val="0"/>
                <w:kern w:val="0"/>
                <w:sz w:val="24"/>
                <w:szCs w:val="24"/>
                <w:lang w:eastAsia="zh-CN" w:bidi="ar-SA"/>
              </w:rPr>
              <w:t>制止餐饮浪费</w:t>
            </w: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11.1</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主动对消费者进行防止食品浪费提示提醒。</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11.2</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未发现诱导、误导消费者超量点餐造成明显浪费。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val="en-US" w:eastAsia="zh-CN" w:bidi="ar-SA"/>
              </w:rPr>
              <w:t>0.5</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jc w:val="center"/>
        </w:trPr>
        <w:tc>
          <w:tcPr>
            <w:tcW w:w="1544"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eastAsia="zh-CN" w:bidi="ar-SA"/>
              </w:rPr>
            </w:pPr>
          </w:p>
        </w:tc>
        <w:tc>
          <w:tcPr>
            <w:tcW w:w="865"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*11.3</w:t>
            </w:r>
          </w:p>
        </w:tc>
        <w:tc>
          <w:tcPr>
            <w:tcW w:w="7091"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未发现经营过程中存在严重浪费。</w:t>
            </w:r>
          </w:p>
        </w:tc>
        <w:tc>
          <w:tcPr>
            <w:tcW w:w="166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eastAsia="zh-CN" w:bidi="ar-SA"/>
              </w:rPr>
            </w:pPr>
            <w:r>
              <w:rPr>
                <w:rFonts w:hint="eastAsia" w:ascii="仿宋_GB2312" w:hAnsi="仿宋_GB2312" w:eastAsia="仿宋_GB2312" w:cs="仿宋_GB2312"/>
                <w:snapToGrid w:val="0"/>
                <w:color w:val="000000"/>
                <w:spacing w:val="0"/>
                <w:kern w:val="0"/>
                <w:sz w:val="24"/>
                <w:szCs w:val="24"/>
                <w:lang w:eastAsia="zh-CN" w:bidi="ar-SA"/>
              </w:rPr>
              <w:t>□是 □否</w:t>
            </w:r>
          </w:p>
        </w:tc>
        <w:tc>
          <w:tcPr>
            <w:tcW w:w="134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r>
              <w:rPr>
                <w:rFonts w:hint="eastAsia" w:ascii="仿宋_GB2312" w:hAnsi="仿宋_GB2312" w:eastAsia="仿宋_GB2312" w:cs="仿宋_GB2312"/>
                <w:snapToGrid w:val="0"/>
                <w:color w:val="000000"/>
                <w:spacing w:val="0"/>
                <w:kern w:val="0"/>
                <w:sz w:val="24"/>
                <w:szCs w:val="24"/>
                <w:lang w:val="en-US" w:eastAsia="zh-CN" w:bidi="ar-SA"/>
              </w:rPr>
              <w:t>1</w:t>
            </w:r>
          </w:p>
        </w:tc>
        <w:tc>
          <w:tcPr>
            <w:tcW w:w="81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c>
          <w:tcPr>
            <w:tcW w:w="839"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textAlignment w:val="auto"/>
              <w:rPr>
                <w:rFonts w:hint="eastAsia" w:ascii="仿宋_GB2312" w:hAnsi="仿宋_GB2312" w:eastAsia="仿宋_GB2312" w:cs="仿宋_GB2312"/>
                <w:snapToGrid w:val="0"/>
                <w:color w:val="000000"/>
                <w:spacing w:val="0"/>
                <w:kern w:val="0"/>
                <w:sz w:val="24"/>
                <w:szCs w:val="24"/>
                <w:lang w:val="en-US" w:eastAsia="zh-CN" w:bidi="ar-SA"/>
              </w:rPr>
            </w:pPr>
          </w:p>
        </w:tc>
      </w:tr>
    </w:tbl>
    <w:p>
      <w:pPr>
        <w:keepNext w:val="0"/>
        <w:keepLines w:val="0"/>
        <w:pageBreakBefore w:val="0"/>
        <w:widowControl w:val="0"/>
        <w:kinsoku/>
        <w:wordWrap/>
        <w:overflowPunct/>
        <w:topLinePunct w:val="0"/>
        <w:autoSpaceDE/>
        <w:autoSpaceDN/>
        <w:bidi w:val="0"/>
        <w:adjustRightInd w:val="0"/>
        <w:snapToGrid w:val="0"/>
        <w:spacing w:before="157" w:beforeLines="50" w:line="400" w:lineRule="exact"/>
        <w:ind w:firstLine="560" w:firstLineChars="200"/>
        <w:jc w:val="both"/>
        <w:textAlignment w:val="auto"/>
        <w:outlineLvl w:val="9"/>
        <w:rPr>
          <w:rFonts w:hint="default" w:ascii="Calibri" w:hAnsi="Calibri" w:eastAsia="宋体" w:cs="黑体"/>
          <w:sz w:val="32"/>
          <w:szCs w:val="32"/>
          <w:lang w:val="en-US" w:eastAsia="zh-CN"/>
        </w:rPr>
        <w:sectPr>
          <w:pgSz w:w="16838" w:h="11906" w:orient="landscape"/>
          <w:pgMar w:top="1134" w:right="1417" w:bottom="1134" w:left="1417" w:header="851" w:footer="340"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楷体_GB2312" w:hAnsi="楷体_GB2312" w:eastAsia="楷体_GB2312" w:cs="楷体_GB2312"/>
          <w:color w:val="000000"/>
          <w:kern w:val="2"/>
          <w:sz w:val="28"/>
          <w:szCs w:val="28"/>
          <w:lang w:eastAsia="zh-CN" w:bidi="ar-SA"/>
        </w:rPr>
        <w:t>检查项目：重点项（*）</w:t>
      </w:r>
      <w:r>
        <w:rPr>
          <w:rFonts w:hint="eastAsia" w:ascii="楷体_GB2312" w:hAnsi="楷体_GB2312" w:eastAsia="楷体_GB2312" w:cs="楷体_GB2312"/>
          <w:color w:val="000000"/>
          <w:kern w:val="2"/>
          <w:sz w:val="28"/>
          <w:szCs w:val="28"/>
          <w:lang w:val="en-US" w:eastAsia="zh-CN" w:bidi="ar-SA"/>
        </w:rPr>
        <w:t>19</w:t>
      </w:r>
      <w:r>
        <w:rPr>
          <w:rFonts w:hint="eastAsia" w:ascii="楷体_GB2312" w:hAnsi="楷体_GB2312" w:eastAsia="楷体_GB2312" w:cs="楷体_GB2312"/>
          <w:color w:val="000000"/>
          <w:kern w:val="2"/>
          <w:sz w:val="28"/>
          <w:szCs w:val="28"/>
          <w:lang w:eastAsia="zh-CN" w:bidi="ar-SA"/>
        </w:rPr>
        <w:t>项，一般项</w:t>
      </w:r>
      <w:r>
        <w:rPr>
          <w:rFonts w:hint="eastAsia" w:ascii="楷体_GB2312" w:hAnsi="楷体_GB2312" w:eastAsia="楷体_GB2312" w:cs="楷体_GB2312"/>
          <w:color w:val="000000"/>
          <w:kern w:val="2"/>
          <w:sz w:val="28"/>
          <w:szCs w:val="28"/>
          <w:lang w:val="en-US" w:eastAsia="zh-CN" w:bidi="ar-SA"/>
        </w:rPr>
        <w:t>37</w:t>
      </w:r>
      <w:r>
        <w:rPr>
          <w:rFonts w:hint="eastAsia" w:ascii="楷体_GB2312" w:hAnsi="楷体_GB2312" w:eastAsia="楷体_GB2312" w:cs="楷体_GB2312"/>
          <w:color w:val="000000"/>
          <w:kern w:val="2"/>
          <w:sz w:val="28"/>
          <w:szCs w:val="28"/>
          <w:lang w:eastAsia="zh-CN" w:bidi="ar-SA"/>
        </w:rPr>
        <w:t>项，共</w:t>
      </w:r>
      <w:r>
        <w:rPr>
          <w:rFonts w:hint="eastAsia" w:ascii="楷体_GB2312" w:hAnsi="楷体_GB2312" w:eastAsia="楷体_GB2312" w:cs="楷体_GB2312"/>
          <w:color w:val="000000"/>
          <w:kern w:val="2"/>
          <w:sz w:val="28"/>
          <w:szCs w:val="28"/>
          <w:lang w:val="en-US" w:eastAsia="zh-CN" w:bidi="ar-SA"/>
        </w:rPr>
        <w:t>56</w:t>
      </w:r>
      <w:r>
        <w:rPr>
          <w:rFonts w:hint="eastAsia" w:ascii="楷体_GB2312" w:hAnsi="楷体_GB2312" w:eastAsia="楷体_GB2312" w:cs="楷体_GB2312"/>
          <w:color w:val="000000"/>
          <w:kern w:val="2"/>
          <w:sz w:val="28"/>
          <w:szCs w:val="28"/>
          <w:lang w:eastAsia="zh-CN" w:bidi="ar-SA"/>
        </w:rPr>
        <w:t>项。</w:t>
      </w:r>
    </w:p>
    <w:p>
      <w:pPr>
        <w:keepNext w:val="0"/>
        <w:keepLines w:val="0"/>
        <w:pageBreakBefore w:val="0"/>
        <w:widowControl w:val="0"/>
        <w:kinsoku/>
        <w:wordWrap/>
        <w:overflowPunct w:val="0"/>
        <w:topLinePunct w:val="0"/>
        <w:autoSpaceDE/>
        <w:autoSpaceDN/>
        <w:bidi w:val="0"/>
        <w:adjustRightInd w:val="0"/>
        <w:spacing w:line="576" w:lineRule="exact"/>
        <w:jc w:val="both"/>
        <w:textAlignment w:val="auto"/>
        <w:rPr>
          <w:rFonts w:hint="eastAsia" w:ascii="黑体" w:hAnsi="黑体" w:eastAsia="黑体" w:cs="黑体"/>
          <w:spacing w:val="17"/>
          <w:kern w:val="2"/>
          <w:sz w:val="32"/>
          <w:szCs w:val="32"/>
          <w:lang w:val="en-US" w:eastAsia="zh-CN" w:bidi="ar-SA"/>
        </w:rPr>
      </w:pPr>
      <w:r>
        <w:rPr>
          <w:rFonts w:hint="eastAsia" w:ascii="黑体" w:hAnsi="黑体" w:eastAsia="黑体" w:cs="黑体"/>
          <w:spacing w:val="17"/>
          <w:kern w:val="2"/>
          <w:sz w:val="32"/>
          <w:szCs w:val="32"/>
          <w:lang w:val="en-US" w:eastAsia="zh-CN" w:bidi="ar-SA"/>
        </w:rPr>
        <w:t>附件5-1</w:t>
      </w:r>
    </w:p>
    <w:p>
      <w:pPr>
        <w:keepNext w:val="0"/>
        <w:keepLines w:val="0"/>
        <w:pageBreakBefore w:val="0"/>
        <w:widowControl w:val="0"/>
        <w:numPr>
          <w:ilvl w:val="0"/>
          <w:numId w:val="0"/>
        </w:numPr>
        <w:kinsoku/>
        <w:wordWrap/>
        <w:overflowPunct w:val="0"/>
        <w:topLinePunct w:val="0"/>
        <w:autoSpaceDE/>
        <w:autoSpaceDN/>
        <w:bidi w:val="0"/>
        <w:adjustRightInd w:val="0"/>
        <w:spacing w:line="576" w:lineRule="exact"/>
        <w:jc w:val="both"/>
        <w:textAlignment w:val="auto"/>
        <w:rPr>
          <w:rFonts w:hint="default" w:ascii="Times New Roman" w:hAnsi="Times New Roman" w:eastAsia="方正小标宋简体" w:cs="Times New Roman"/>
          <w:spacing w:val="-6"/>
          <w:sz w:val="36"/>
          <w:szCs w:val="36"/>
          <w:highlight w:val="none"/>
          <w:lang w:val="en-US" w:eastAsia="zh-CN"/>
        </w:rPr>
      </w:pPr>
    </w:p>
    <w:p>
      <w:pPr>
        <w:keepNext w:val="0"/>
        <w:keepLines w:val="0"/>
        <w:pageBreakBefore w:val="0"/>
        <w:widowControl w:val="0"/>
        <w:numPr>
          <w:ilvl w:val="0"/>
          <w:numId w:val="0"/>
        </w:numPr>
        <w:kinsoku/>
        <w:wordWrap/>
        <w:overflowPunct w:val="0"/>
        <w:topLinePunct w:val="0"/>
        <w:autoSpaceDE/>
        <w:autoSpaceDN/>
        <w:bidi w:val="0"/>
        <w:adjustRightInd w:val="0"/>
        <w:spacing w:line="576" w:lineRule="exact"/>
        <w:jc w:val="center"/>
        <w:textAlignment w:val="auto"/>
        <w:rPr>
          <w:rFonts w:hint="default" w:ascii="Times New Roman" w:hAnsi="Times New Roman" w:eastAsia="方正小标宋简体" w:cs="Times New Roman"/>
          <w:spacing w:val="-6"/>
          <w:sz w:val="44"/>
          <w:szCs w:val="44"/>
          <w:highlight w:val="none"/>
          <w:lang w:val="en-US" w:eastAsia="zh-CN"/>
        </w:rPr>
      </w:pPr>
      <w:r>
        <w:rPr>
          <w:rFonts w:hint="default" w:ascii="Times New Roman" w:hAnsi="Times New Roman" w:eastAsia="方正小标宋简体" w:cs="Times New Roman"/>
          <w:spacing w:val="-6"/>
          <w:sz w:val="44"/>
          <w:szCs w:val="44"/>
          <w:highlight w:val="none"/>
          <w:lang w:val="en-US" w:eastAsia="zh-CN"/>
        </w:rPr>
        <w:t>从事对温度、湿度等有特殊要求的食品</w:t>
      </w:r>
    </w:p>
    <w:p>
      <w:pPr>
        <w:keepNext w:val="0"/>
        <w:keepLines w:val="0"/>
        <w:pageBreakBefore w:val="0"/>
        <w:widowControl w:val="0"/>
        <w:numPr>
          <w:ilvl w:val="0"/>
          <w:numId w:val="0"/>
        </w:numPr>
        <w:kinsoku/>
        <w:wordWrap/>
        <w:overflowPunct w:val="0"/>
        <w:topLinePunct w:val="0"/>
        <w:autoSpaceDE/>
        <w:autoSpaceDN/>
        <w:bidi w:val="0"/>
        <w:adjustRightInd w:val="0"/>
        <w:spacing w:line="576" w:lineRule="exact"/>
        <w:jc w:val="center"/>
        <w:textAlignment w:val="auto"/>
        <w:rPr>
          <w:rFonts w:hint="default" w:ascii="Times New Roman" w:hAnsi="Times New Roman" w:eastAsia="方正小标宋简体" w:cs="Times New Roman"/>
          <w:spacing w:val="-6"/>
          <w:sz w:val="44"/>
          <w:szCs w:val="44"/>
          <w:highlight w:val="none"/>
          <w:lang w:val="en-US" w:eastAsia="zh-CN"/>
        </w:rPr>
      </w:pPr>
      <w:r>
        <w:rPr>
          <w:rFonts w:hint="default" w:ascii="Times New Roman" w:hAnsi="Times New Roman" w:eastAsia="方正小标宋简体" w:cs="Times New Roman"/>
          <w:spacing w:val="-6"/>
          <w:sz w:val="44"/>
          <w:szCs w:val="44"/>
          <w:highlight w:val="none"/>
          <w:lang w:val="en-US" w:eastAsia="zh-CN"/>
        </w:rPr>
        <w:t>贮存业务的非食品生产经营者</w:t>
      </w:r>
    </w:p>
    <w:p>
      <w:pPr>
        <w:keepNext w:val="0"/>
        <w:keepLines w:val="0"/>
        <w:pageBreakBefore w:val="0"/>
        <w:widowControl w:val="0"/>
        <w:numPr>
          <w:ilvl w:val="0"/>
          <w:numId w:val="0"/>
        </w:numPr>
        <w:kinsoku/>
        <w:wordWrap/>
        <w:overflowPunct w:val="0"/>
        <w:topLinePunct w:val="0"/>
        <w:autoSpaceDE/>
        <w:autoSpaceDN/>
        <w:bidi w:val="0"/>
        <w:adjustRightInd w:val="0"/>
        <w:spacing w:line="576" w:lineRule="exact"/>
        <w:jc w:val="center"/>
        <w:textAlignment w:val="auto"/>
        <w:rPr>
          <w:rFonts w:hint="default" w:ascii="Times New Roman" w:hAnsi="Times New Roman" w:eastAsia="方正小标宋简体" w:cs="Times New Roman"/>
          <w:spacing w:val="-6"/>
          <w:sz w:val="44"/>
          <w:szCs w:val="44"/>
          <w:highlight w:val="none"/>
          <w:lang w:val="en-US" w:eastAsia="zh-CN"/>
        </w:rPr>
      </w:pPr>
      <w:r>
        <w:rPr>
          <w:rFonts w:hint="default" w:ascii="Times New Roman" w:hAnsi="Times New Roman" w:eastAsia="方正小标宋简体" w:cs="Times New Roman"/>
          <w:spacing w:val="-6"/>
          <w:sz w:val="44"/>
          <w:szCs w:val="44"/>
          <w:highlight w:val="none"/>
          <w:lang w:val="en-US" w:eastAsia="zh-CN"/>
        </w:rPr>
        <w:t>静态风险因素量化分值表</w:t>
      </w:r>
    </w:p>
    <w:p>
      <w:pPr>
        <w:keepNext w:val="0"/>
        <w:keepLines w:val="0"/>
        <w:pageBreakBefore w:val="0"/>
        <w:widowControl w:val="0"/>
        <w:kinsoku/>
        <w:wordWrap/>
        <w:overflowPunct w:val="0"/>
        <w:topLinePunct w:val="0"/>
        <w:autoSpaceDE/>
        <w:autoSpaceDN/>
        <w:bidi w:val="0"/>
        <w:adjustRightInd w:val="0"/>
        <w:snapToGrid w:val="0"/>
        <w:spacing w:line="576" w:lineRule="exact"/>
        <w:ind w:left="0" w:leftChars="0"/>
        <w:jc w:val="both"/>
        <w:textAlignment w:val="auto"/>
        <w:rPr>
          <w:rFonts w:hint="default" w:ascii="Times New Roman" w:hAnsi="Times New Roman" w:eastAsia="方正小标宋简体" w:cs="Times New Roman"/>
          <w:spacing w:val="-6"/>
          <w:sz w:val="36"/>
          <w:szCs w:val="36"/>
          <w:highlight w:val="none"/>
          <w:lang w:val="en-US" w:eastAsia="zh-CN"/>
        </w:rPr>
      </w:pPr>
    </w:p>
    <w:tbl>
      <w:tblPr>
        <w:tblStyle w:val="9"/>
        <w:tblW w:w="8844" w:type="dxa"/>
        <w:jc w:val="center"/>
        <w:tblInd w:w="0" w:type="dxa"/>
        <w:tblLayout w:type="fixed"/>
        <w:tblCellMar>
          <w:top w:w="0" w:type="dxa"/>
          <w:left w:w="108" w:type="dxa"/>
          <w:bottom w:w="0" w:type="dxa"/>
          <w:right w:w="108" w:type="dxa"/>
        </w:tblCellMar>
      </w:tblPr>
      <w:tblGrid>
        <w:gridCol w:w="833"/>
        <w:gridCol w:w="2011"/>
        <w:gridCol w:w="2845"/>
        <w:gridCol w:w="820"/>
        <w:gridCol w:w="972"/>
        <w:gridCol w:w="1363"/>
      </w:tblGrid>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i w:val="0"/>
                <w:iCs w:val="0"/>
                <w:snapToGrid w:val="0"/>
                <w:color w:val="auto"/>
                <w:spacing w:val="0"/>
                <w:kern w:val="0"/>
                <w:sz w:val="28"/>
                <w:szCs w:val="28"/>
                <w:highlight w:val="none"/>
                <w:u w:val="none"/>
              </w:rPr>
            </w:pPr>
            <w:r>
              <w:rPr>
                <w:rFonts w:hint="eastAsia" w:ascii="黑体" w:hAnsi="黑体" w:eastAsia="黑体" w:cs="黑体"/>
                <w:i w:val="0"/>
                <w:iCs w:val="0"/>
                <w:snapToGrid w:val="0"/>
                <w:color w:val="auto"/>
                <w:spacing w:val="0"/>
                <w:kern w:val="0"/>
                <w:sz w:val="28"/>
                <w:szCs w:val="28"/>
                <w:highlight w:val="none"/>
                <w:u w:val="none"/>
                <w:lang w:val="en-US" w:eastAsia="zh-CN" w:bidi="ar"/>
              </w:rPr>
              <w:t>序号</w:t>
            </w:r>
          </w:p>
        </w:tc>
        <w:tc>
          <w:tcPr>
            <w:tcW w:w="201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i w:val="0"/>
                <w:iCs w:val="0"/>
                <w:snapToGrid w:val="0"/>
                <w:color w:val="auto"/>
                <w:spacing w:val="0"/>
                <w:kern w:val="0"/>
                <w:sz w:val="28"/>
                <w:szCs w:val="28"/>
                <w:highlight w:val="none"/>
                <w:u w:val="none"/>
              </w:rPr>
            </w:pPr>
            <w:r>
              <w:rPr>
                <w:rFonts w:hint="eastAsia" w:ascii="黑体" w:hAnsi="黑体" w:eastAsia="黑体" w:cs="黑体"/>
                <w:i w:val="0"/>
                <w:iCs w:val="0"/>
                <w:snapToGrid w:val="0"/>
                <w:color w:val="auto"/>
                <w:spacing w:val="0"/>
                <w:kern w:val="0"/>
                <w:sz w:val="28"/>
                <w:szCs w:val="28"/>
                <w:highlight w:val="none"/>
                <w:u w:val="none"/>
                <w:lang w:val="en-US" w:eastAsia="zh-CN" w:bidi="ar"/>
              </w:rPr>
              <w:t>项目</w:t>
            </w: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i w:val="0"/>
                <w:iCs w:val="0"/>
                <w:snapToGrid w:val="0"/>
                <w:color w:val="auto"/>
                <w:spacing w:val="0"/>
                <w:kern w:val="0"/>
                <w:sz w:val="28"/>
                <w:szCs w:val="28"/>
                <w:highlight w:val="none"/>
                <w:u w:val="none"/>
              </w:rPr>
            </w:pPr>
            <w:r>
              <w:rPr>
                <w:rFonts w:hint="eastAsia" w:ascii="黑体" w:hAnsi="黑体" w:eastAsia="黑体" w:cs="黑体"/>
                <w:i w:val="0"/>
                <w:iCs w:val="0"/>
                <w:snapToGrid w:val="0"/>
                <w:color w:val="auto"/>
                <w:spacing w:val="0"/>
                <w:kern w:val="0"/>
                <w:sz w:val="28"/>
                <w:szCs w:val="28"/>
                <w:highlight w:val="none"/>
                <w:u w:val="none"/>
                <w:lang w:val="en-US" w:eastAsia="zh-CN" w:bidi="ar"/>
              </w:rPr>
              <w:t>类别</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i w:val="0"/>
                <w:iCs w:val="0"/>
                <w:snapToGrid w:val="0"/>
                <w:color w:val="auto"/>
                <w:spacing w:val="0"/>
                <w:kern w:val="0"/>
                <w:sz w:val="28"/>
                <w:szCs w:val="28"/>
                <w:highlight w:val="none"/>
                <w:u w:val="none"/>
              </w:rPr>
            </w:pPr>
            <w:r>
              <w:rPr>
                <w:rFonts w:hint="eastAsia" w:ascii="黑体" w:hAnsi="黑体" w:eastAsia="黑体" w:cs="黑体"/>
                <w:i w:val="0"/>
                <w:iCs w:val="0"/>
                <w:snapToGrid w:val="0"/>
                <w:color w:val="auto"/>
                <w:spacing w:val="0"/>
                <w:kern w:val="0"/>
                <w:sz w:val="28"/>
                <w:szCs w:val="28"/>
                <w:highlight w:val="none"/>
                <w:u w:val="none"/>
                <w:lang w:val="en-US" w:eastAsia="zh-CN" w:bidi="ar"/>
              </w:rPr>
              <w:t>分值</w:t>
            </w:r>
          </w:p>
        </w:tc>
        <w:tc>
          <w:tcPr>
            <w:tcW w:w="97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i w:val="0"/>
                <w:iCs w:val="0"/>
                <w:snapToGrid w:val="0"/>
                <w:color w:val="auto"/>
                <w:spacing w:val="0"/>
                <w:kern w:val="0"/>
                <w:sz w:val="28"/>
                <w:szCs w:val="28"/>
                <w:highlight w:val="none"/>
                <w:u w:val="none"/>
              </w:rPr>
            </w:pPr>
            <w:r>
              <w:rPr>
                <w:rFonts w:hint="eastAsia" w:ascii="黑体" w:hAnsi="黑体" w:eastAsia="黑体" w:cs="黑体"/>
                <w:i w:val="0"/>
                <w:iCs w:val="0"/>
                <w:snapToGrid w:val="0"/>
                <w:color w:val="auto"/>
                <w:spacing w:val="0"/>
                <w:kern w:val="0"/>
                <w:sz w:val="28"/>
                <w:szCs w:val="28"/>
                <w:highlight w:val="none"/>
                <w:u w:val="none"/>
                <w:lang w:val="en-US" w:eastAsia="zh-CN" w:bidi="ar"/>
              </w:rPr>
              <w:t>得分</w:t>
            </w:r>
          </w:p>
        </w:tc>
        <w:tc>
          <w:tcPr>
            <w:tcW w:w="136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i w:val="0"/>
                <w:iCs w:val="0"/>
                <w:snapToGrid w:val="0"/>
                <w:color w:val="auto"/>
                <w:spacing w:val="0"/>
                <w:kern w:val="0"/>
                <w:sz w:val="28"/>
                <w:szCs w:val="28"/>
                <w:highlight w:val="none"/>
                <w:u w:val="none"/>
              </w:rPr>
            </w:pPr>
            <w:r>
              <w:rPr>
                <w:rFonts w:hint="eastAsia" w:ascii="黑体" w:hAnsi="黑体" w:eastAsia="黑体" w:cs="黑体"/>
                <w:i w:val="0"/>
                <w:iCs w:val="0"/>
                <w:snapToGrid w:val="0"/>
                <w:color w:val="auto"/>
                <w:spacing w:val="0"/>
                <w:kern w:val="0"/>
                <w:sz w:val="28"/>
                <w:szCs w:val="28"/>
                <w:highlight w:val="none"/>
                <w:u w:val="none"/>
                <w:lang w:val="en-US" w:eastAsia="zh-CN" w:bidi="ar"/>
              </w:rPr>
              <w:t>备注</w:t>
            </w: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1</w:t>
            </w:r>
          </w:p>
        </w:tc>
        <w:tc>
          <w:tcPr>
            <w:tcW w:w="2011"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lang w:val="en-US" w:eastAsia="zh-CN" w:bidi="ar"/>
              </w:rPr>
            </w:pPr>
            <w:r>
              <w:rPr>
                <w:rFonts w:hint="eastAsia" w:ascii="宋体" w:hAnsi="宋体" w:eastAsia="宋体" w:cs="宋体"/>
                <w:i w:val="0"/>
                <w:iCs w:val="0"/>
                <w:snapToGrid w:val="0"/>
                <w:color w:val="auto"/>
                <w:spacing w:val="0"/>
                <w:kern w:val="0"/>
                <w:sz w:val="28"/>
                <w:szCs w:val="28"/>
                <w:highlight w:val="none"/>
                <w:u w:val="none"/>
                <w:lang w:val="en-US" w:eastAsia="zh-CN" w:bidi="ar"/>
              </w:rPr>
              <w:t>贮存容积</w:t>
            </w:r>
          </w:p>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（m³，10分）</w:t>
            </w: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1000以下</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2</w:t>
            </w:r>
          </w:p>
        </w:tc>
        <w:tc>
          <w:tcPr>
            <w:tcW w:w="972"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1363"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2</w:t>
            </w:r>
          </w:p>
        </w:tc>
        <w:tc>
          <w:tcPr>
            <w:tcW w:w="2011"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宋体" w:hAnsi="宋体" w:eastAsia="宋体" w:cs="宋体"/>
                <w:i w:val="0"/>
                <w:iCs w:val="0"/>
                <w:snapToGrid w:val="0"/>
                <w:color w:val="auto"/>
                <w:spacing w:val="0"/>
                <w:kern w:val="0"/>
                <w:sz w:val="28"/>
                <w:szCs w:val="28"/>
                <w:highlight w:val="none"/>
                <w:u w:val="none"/>
              </w:rPr>
            </w:pP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lang w:val="en-US"/>
              </w:rPr>
            </w:pPr>
            <w:r>
              <w:rPr>
                <w:rFonts w:hint="eastAsia" w:ascii="宋体" w:hAnsi="宋体" w:eastAsia="宋体" w:cs="宋体"/>
                <w:i w:val="0"/>
                <w:iCs w:val="0"/>
                <w:snapToGrid w:val="0"/>
                <w:color w:val="auto"/>
                <w:spacing w:val="0"/>
                <w:kern w:val="0"/>
                <w:sz w:val="28"/>
                <w:szCs w:val="28"/>
                <w:highlight w:val="none"/>
                <w:u w:val="none"/>
                <w:lang w:val="en-US" w:eastAsia="zh-CN" w:bidi="ar"/>
              </w:rPr>
              <w:t>1001-10000</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4</w:t>
            </w:r>
          </w:p>
        </w:tc>
        <w:tc>
          <w:tcPr>
            <w:tcW w:w="9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1363"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3</w:t>
            </w:r>
          </w:p>
        </w:tc>
        <w:tc>
          <w:tcPr>
            <w:tcW w:w="2011"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宋体" w:hAnsi="宋体" w:eastAsia="宋体" w:cs="宋体"/>
                <w:i w:val="0"/>
                <w:iCs w:val="0"/>
                <w:snapToGrid w:val="0"/>
                <w:color w:val="auto"/>
                <w:spacing w:val="0"/>
                <w:kern w:val="0"/>
                <w:sz w:val="28"/>
                <w:szCs w:val="28"/>
                <w:highlight w:val="none"/>
                <w:u w:val="none"/>
              </w:rPr>
            </w:pP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10001以上</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10</w:t>
            </w:r>
          </w:p>
        </w:tc>
        <w:tc>
          <w:tcPr>
            <w:tcW w:w="972"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1363"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4</w:t>
            </w:r>
          </w:p>
        </w:tc>
        <w:tc>
          <w:tcPr>
            <w:tcW w:w="2011"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贮存食品产地（10分）</w:t>
            </w: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国产食品</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5</w:t>
            </w:r>
          </w:p>
        </w:tc>
        <w:tc>
          <w:tcPr>
            <w:tcW w:w="972" w:type="dxa"/>
            <w:vMerge w:val="restart"/>
            <w:tcBorders>
              <w:top w:val="nil"/>
              <w:left w:val="single" w:color="000000" w:sz="4" w:space="0"/>
              <w:bottom w:val="nil"/>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1363" w:type="dxa"/>
            <w:vMerge w:val="restart"/>
            <w:tcBorders>
              <w:top w:val="nil"/>
              <w:left w:val="single" w:color="000000" w:sz="4" w:space="0"/>
              <w:bottom w:val="nil"/>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按照产地就高打分</w:t>
            </w: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5</w:t>
            </w:r>
          </w:p>
        </w:tc>
        <w:tc>
          <w:tcPr>
            <w:tcW w:w="2011"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宋体" w:hAnsi="宋体" w:eastAsia="宋体" w:cs="宋体"/>
                <w:i w:val="0"/>
                <w:iCs w:val="0"/>
                <w:snapToGrid w:val="0"/>
                <w:color w:val="auto"/>
                <w:spacing w:val="0"/>
                <w:kern w:val="0"/>
                <w:sz w:val="28"/>
                <w:szCs w:val="28"/>
                <w:highlight w:val="none"/>
                <w:u w:val="none"/>
              </w:rPr>
            </w:pP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进口食品</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10</w:t>
            </w:r>
          </w:p>
        </w:tc>
        <w:tc>
          <w:tcPr>
            <w:tcW w:w="972" w:type="dxa"/>
            <w:vMerge w:val="continue"/>
            <w:tcBorders>
              <w:top w:val="nil"/>
              <w:left w:val="single" w:color="000000" w:sz="4" w:space="0"/>
              <w:bottom w:val="nil"/>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1363" w:type="dxa"/>
            <w:vMerge w:val="continue"/>
            <w:tcBorders>
              <w:top w:val="nil"/>
              <w:left w:val="single" w:color="000000" w:sz="4" w:space="0"/>
              <w:bottom w:val="nil"/>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6</w:t>
            </w:r>
          </w:p>
        </w:tc>
        <w:tc>
          <w:tcPr>
            <w:tcW w:w="2011"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贮存食品类别（20分）</w:t>
            </w: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加工食品</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2</w:t>
            </w:r>
          </w:p>
        </w:tc>
        <w:tc>
          <w:tcPr>
            <w:tcW w:w="97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1363"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按照经营食品类别分别打分累计计算</w:t>
            </w: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7</w:t>
            </w:r>
          </w:p>
        </w:tc>
        <w:tc>
          <w:tcPr>
            <w:tcW w:w="2011"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果蔬类、豆类、坚果类、其他类等食用农产品</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4</w:t>
            </w:r>
          </w:p>
        </w:tc>
        <w:tc>
          <w:tcPr>
            <w:tcW w:w="97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1363"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8</w:t>
            </w:r>
          </w:p>
        </w:tc>
        <w:tc>
          <w:tcPr>
            <w:tcW w:w="2011"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水产类食用农产品</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6</w:t>
            </w:r>
          </w:p>
        </w:tc>
        <w:tc>
          <w:tcPr>
            <w:tcW w:w="97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1363"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9</w:t>
            </w:r>
          </w:p>
        </w:tc>
        <w:tc>
          <w:tcPr>
            <w:tcW w:w="2011"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284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畜禽类、鲜蛋等食用农产品</w:t>
            </w:r>
          </w:p>
        </w:tc>
        <w:tc>
          <w:tcPr>
            <w:tcW w:w="8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lang w:val="en-US"/>
              </w:rPr>
            </w:pPr>
            <w:r>
              <w:rPr>
                <w:rFonts w:hint="eastAsia" w:ascii="宋体" w:hAnsi="宋体" w:eastAsia="宋体" w:cs="宋体"/>
                <w:i w:val="0"/>
                <w:iCs w:val="0"/>
                <w:snapToGrid w:val="0"/>
                <w:color w:val="auto"/>
                <w:spacing w:val="0"/>
                <w:kern w:val="0"/>
                <w:sz w:val="28"/>
                <w:szCs w:val="28"/>
                <w:highlight w:val="none"/>
                <w:u w:val="none"/>
                <w:lang w:val="en-US" w:eastAsia="zh-CN" w:bidi="ar"/>
              </w:rPr>
              <w:t>8</w:t>
            </w:r>
          </w:p>
        </w:tc>
        <w:tc>
          <w:tcPr>
            <w:tcW w:w="97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c>
          <w:tcPr>
            <w:tcW w:w="1363"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r>
      <w:tr>
        <w:tblPrEx>
          <w:tblLayout w:type="fixed"/>
          <w:tblCellMar>
            <w:top w:w="0" w:type="dxa"/>
            <w:left w:w="108" w:type="dxa"/>
            <w:bottom w:w="0" w:type="dxa"/>
            <w:right w:w="108" w:type="dxa"/>
          </w:tblCellMar>
        </w:tblPrEx>
        <w:trPr>
          <w:trHeight w:val="567" w:hRule="atLeast"/>
          <w:jc w:val="center"/>
        </w:trPr>
        <w:tc>
          <w:tcPr>
            <w:tcW w:w="83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10</w:t>
            </w:r>
          </w:p>
        </w:tc>
        <w:tc>
          <w:tcPr>
            <w:tcW w:w="5676"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spacing w:val="0"/>
                <w:kern w:val="0"/>
                <w:sz w:val="28"/>
                <w:szCs w:val="28"/>
                <w:highlight w:val="none"/>
                <w:u w:val="none"/>
              </w:rPr>
            </w:pPr>
            <w:r>
              <w:rPr>
                <w:rFonts w:hint="eastAsia" w:ascii="宋体" w:hAnsi="宋体" w:eastAsia="宋体" w:cs="宋体"/>
                <w:i w:val="0"/>
                <w:iCs w:val="0"/>
                <w:snapToGrid w:val="0"/>
                <w:color w:val="auto"/>
                <w:spacing w:val="0"/>
                <w:kern w:val="0"/>
                <w:sz w:val="28"/>
                <w:szCs w:val="28"/>
                <w:highlight w:val="none"/>
                <w:u w:val="none"/>
                <w:lang w:val="en-US" w:eastAsia="zh-CN" w:bidi="ar"/>
              </w:rPr>
              <w:t>总计</w:t>
            </w:r>
          </w:p>
        </w:tc>
        <w:tc>
          <w:tcPr>
            <w:tcW w:w="2335"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宋体" w:hAnsi="宋体" w:eastAsia="宋体" w:cs="宋体"/>
                <w:i w:val="0"/>
                <w:iCs w:val="0"/>
                <w:snapToGrid w:val="0"/>
                <w:color w:val="auto"/>
                <w:spacing w:val="0"/>
                <w:kern w:val="0"/>
                <w:sz w:val="28"/>
                <w:szCs w:val="28"/>
                <w:highlight w:val="none"/>
                <w:u w:val="none"/>
              </w:rPr>
            </w:pPr>
          </w:p>
        </w:tc>
      </w:tr>
    </w:tbl>
    <w:p>
      <w:pPr>
        <w:keepNext w:val="0"/>
        <w:keepLines w:val="0"/>
        <w:pageBreakBefore w:val="0"/>
        <w:widowControl w:val="0"/>
        <w:kinsoku/>
        <w:wordWrap/>
        <w:overflowPunct w:val="0"/>
        <w:topLinePunct w:val="0"/>
        <w:autoSpaceDE/>
        <w:autoSpaceDN/>
        <w:bidi w:val="0"/>
        <w:adjustRightInd w:val="0"/>
        <w:snapToGrid w:val="0"/>
        <w:spacing w:before="157" w:beforeLines="50" w:line="400" w:lineRule="exact"/>
        <w:textAlignment w:val="auto"/>
        <w:rPr>
          <w:rFonts w:hint="eastAsia" w:ascii="楷体_GB2312" w:hAnsi="楷体_GB2312" w:eastAsia="楷体_GB2312" w:cs="楷体_GB2312"/>
          <w:i w:val="0"/>
          <w:iCs w:val="0"/>
          <w:color w:val="000000"/>
          <w:spacing w:val="0"/>
          <w:kern w:val="0"/>
          <w:sz w:val="28"/>
          <w:szCs w:val="28"/>
          <w:highlight w:val="none"/>
          <w:u w:val="none"/>
          <w:lang w:val="en-US" w:eastAsia="zh-CN" w:bidi="ar"/>
        </w:rPr>
      </w:pPr>
      <w:r>
        <w:rPr>
          <w:rFonts w:hint="eastAsia" w:ascii="楷体_GB2312" w:hAnsi="楷体_GB2312" w:eastAsia="楷体_GB2312" w:cs="楷体_GB2312"/>
          <w:i w:val="0"/>
          <w:iCs w:val="0"/>
          <w:color w:val="000000"/>
          <w:spacing w:val="0"/>
          <w:kern w:val="0"/>
          <w:sz w:val="28"/>
          <w:szCs w:val="28"/>
          <w:highlight w:val="none"/>
          <w:u w:val="none"/>
          <w:lang w:val="en-US" w:eastAsia="zh-CN" w:bidi="ar"/>
        </w:rPr>
        <w:t>备注：</w:t>
      </w:r>
    </w:p>
    <w:p>
      <w:pPr>
        <w:keepNext w:val="0"/>
        <w:keepLines w:val="0"/>
        <w:pageBreakBefore w:val="0"/>
        <w:widowControl w:val="0"/>
        <w:kinsoku/>
        <w:wordWrap/>
        <w:overflowPunct w:val="0"/>
        <w:topLinePunct w:val="0"/>
        <w:autoSpaceDE/>
        <w:autoSpaceDN/>
        <w:bidi w:val="0"/>
        <w:adjustRightInd w:val="0"/>
        <w:snapToGrid w:val="0"/>
        <w:spacing w:line="400" w:lineRule="exact"/>
        <w:ind w:firstLine="560" w:firstLineChars="200"/>
        <w:textAlignment w:val="auto"/>
        <w:rPr>
          <w:rFonts w:hint="eastAsia" w:ascii="楷体_GB2312" w:hAnsi="楷体_GB2312" w:eastAsia="楷体_GB2312" w:cs="楷体_GB2312"/>
          <w:i w:val="0"/>
          <w:iCs w:val="0"/>
          <w:color w:val="000000"/>
          <w:spacing w:val="0"/>
          <w:kern w:val="0"/>
          <w:sz w:val="28"/>
          <w:szCs w:val="28"/>
          <w:highlight w:val="none"/>
          <w:u w:val="none"/>
          <w:lang w:val="en-US" w:eastAsia="zh-CN" w:bidi="ar"/>
        </w:rPr>
      </w:pPr>
      <w:r>
        <w:rPr>
          <w:rFonts w:hint="eastAsia" w:ascii="楷体_GB2312" w:hAnsi="楷体_GB2312" w:eastAsia="楷体_GB2312" w:cs="楷体_GB2312"/>
          <w:i w:val="0"/>
          <w:iCs w:val="0"/>
          <w:color w:val="000000"/>
          <w:spacing w:val="0"/>
          <w:kern w:val="0"/>
          <w:sz w:val="28"/>
          <w:szCs w:val="28"/>
          <w:highlight w:val="none"/>
          <w:u w:val="none"/>
          <w:lang w:val="en-US" w:eastAsia="zh-CN" w:bidi="ar"/>
        </w:rPr>
        <w:t>1.该表单适用用对温度、湿度有特殊要求的食品贮存业务的非食品生产经营者。</w:t>
      </w:r>
    </w:p>
    <w:p>
      <w:pPr>
        <w:keepNext w:val="0"/>
        <w:keepLines w:val="0"/>
        <w:pageBreakBefore w:val="0"/>
        <w:widowControl w:val="0"/>
        <w:kinsoku/>
        <w:wordWrap/>
        <w:overflowPunct w:val="0"/>
        <w:topLinePunct w:val="0"/>
        <w:autoSpaceDE/>
        <w:autoSpaceDN/>
        <w:bidi w:val="0"/>
        <w:adjustRightInd w:val="0"/>
        <w:snapToGrid w:val="0"/>
        <w:spacing w:line="400" w:lineRule="exact"/>
        <w:ind w:firstLine="560" w:firstLineChars="200"/>
        <w:textAlignment w:val="auto"/>
        <w:rPr>
          <w:rFonts w:hint="eastAsia" w:ascii="楷体_GB2312" w:hAnsi="楷体_GB2312" w:eastAsia="楷体_GB2312" w:cs="楷体_GB2312"/>
          <w:spacing w:val="0"/>
          <w:kern w:val="0"/>
          <w:sz w:val="28"/>
          <w:szCs w:val="28"/>
          <w:highlight w:val="none"/>
          <w:lang w:val="en-US" w:eastAsia="zh-CN"/>
        </w:rPr>
      </w:pPr>
      <w:r>
        <w:rPr>
          <w:rFonts w:hint="eastAsia" w:ascii="楷体_GB2312" w:hAnsi="楷体_GB2312" w:eastAsia="楷体_GB2312" w:cs="楷体_GB2312"/>
          <w:i w:val="0"/>
          <w:iCs w:val="0"/>
          <w:color w:val="000000"/>
          <w:spacing w:val="0"/>
          <w:kern w:val="0"/>
          <w:sz w:val="28"/>
          <w:szCs w:val="28"/>
          <w:highlight w:val="none"/>
          <w:u w:val="none"/>
          <w:lang w:val="en-US" w:eastAsia="zh-CN" w:bidi="ar"/>
        </w:rPr>
        <w:t>2.容积指贮存场所容积，不包括办公、管理等其他辅助场所。</w:t>
      </w:r>
    </w:p>
    <w:p>
      <w:pPr>
        <w:spacing w:line="240" w:lineRule="atLeast"/>
        <w:rPr>
          <w:rFonts w:ascii="Times New Roman" w:hAnsi="Times New Roman" w:eastAsia="仿宋_GB2312" w:cs="Times New Roman"/>
          <w:spacing w:val="-6"/>
          <w:sz w:val="32"/>
          <w:szCs w:val="20"/>
        </w:rPr>
      </w:pPr>
    </w:p>
    <w:p>
      <w:pPr>
        <w:rPr>
          <w:rFonts w:hint="default" w:ascii="Times New Roman" w:hAnsi="Times New Roman" w:cs="Times New Roman"/>
          <w:spacing w:val="0"/>
          <w:sz w:val="32"/>
          <w:highlight w:val="none"/>
          <w:lang w:eastAsia="zh-CN"/>
        </w:rPr>
        <w:sectPr>
          <w:pgSz w:w="11906" w:h="16838"/>
          <w:pgMar w:top="2098" w:right="1474" w:bottom="1984" w:left="1587"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pageBreakBefore w:val="0"/>
        <w:widowControl w:val="0"/>
        <w:kinsoku/>
        <w:wordWrap/>
        <w:overflowPunct w:val="0"/>
        <w:topLinePunct w:val="0"/>
        <w:autoSpaceDE/>
        <w:autoSpaceDN/>
        <w:bidi w:val="0"/>
        <w:adjustRightInd/>
        <w:snapToGrid w:val="0"/>
        <w:spacing w:line="500" w:lineRule="exact"/>
        <w:ind w:left="0" w:leftChars="0"/>
        <w:textAlignment w:val="auto"/>
        <w:outlineLvl w:val="1"/>
        <w:rPr>
          <w:rFonts w:hint="eastAsia" w:ascii="黑体" w:hAnsi="黑体" w:eastAsia="黑体" w:cs="黑体"/>
          <w:spacing w:val="0"/>
          <w:sz w:val="32"/>
          <w:szCs w:val="20"/>
          <w:highlight w:val="none"/>
          <w:lang w:val="en-US" w:eastAsia="zh-CN"/>
        </w:rPr>
      </w:pPr>
      <w:r>
        <w:rPr>
          <w:rFonts w:hint="eastAsia" w:ascii="黑体" w:hAnsi="黑体" w:eastAsia="黑体" w:cs="黑体"/>
          <w:spacing w:val="0"/>
          <w:sz w:val="32"/>
          <w:szCs w:val="20"/>
          <w:highlight w:val="none"/>
          <w:lang w:eastAsia="zh-CN"/>
        </w:rPr>
        <w:t>附件</w:t>
      </w:r>
      <w:r>
        <w:rPr>
          <w:rFonts w:hint="eastAsia" w:ascii="黑体" w:hAnsi="黑体" w:eastAsia="黑体" w:cs="黑体"/>
          <w:spacing w:val="0"/>
          <w:sz w:val="32"/>
          <w:szCs w:val="20"/>
          <w:highlight w:val="none"/>
          <w:lang w:val="en-US" w:eastAsia="zh-CN"/>
        </w:rPr>
        <w:t>5-2</w:t>
      </w:r>
    </w:p>
    <w:p>
      <w:pPr>
        <w:keepNext w:val="0"/>
        <w:keepLines w:val="0"/>
        <w:pageBreakBefore w:val="0"/>
        <w:widowControl w:val="0"/>
        <w:kinsoku/>
        <w:wordWrap/>
        <w:overflowPunct w:val="0"/>
        <w:topLinePunct w:val="0"/>
        <w:autoSpaceDE/>
        <w:autoSpaceDN/>
        <w:bidi w:val="0"/>
        <w:adjustRightInd/>
        <w:snapToGrid w:val="0"/>
        <w:spacing w:line="500" w:lineRule="exact"/>
        <w:ind w:left="0" w:leftChars="0"/>
        <w:textAlignment w:val="auto"/>
        <w:outlineLvl w:val="1"/>
        <w:rPr>
          <w:rFonts w:hint="default" w:ascii="Times New Roman" w:hAnsi="Times New Roman" w:eastAsia="仿宋_GB2312" w:cs="Times New Roman"/>
          <w:spacing w:val="0"/>
          <w:sz w:val="32"/>
          <w:szCs w:val="20"/>
          <w:highlight w:val="none"/>
          <w:lang w:val="en-US" w:eastAsia="zh-CN"/>
        </w:rPr>
      </w:pPr>
    </w:p>
    <w:p>
      <w:pPr>
        <w:keepNext w:val="0"/>
        <w:keepLines w:val="0"/>
        <w:pageBreakBefore w:val="0"/>
        <w:widowControl w:val="0"/>
        <w:kinsoku/>
        <w:wordWrap/>
        <w:overflowPunct w:val="0"/>
        <w:topLinePunct w:val="0"/>
        <w:autoSpaceDE/>
        <w:autoSpaceDN/>
        <w:bidi w:val="0"/>
        <w:adjustRightInd/>
        <w:snapToGrid w:val="0"/>
        <w:spacing w:line="500" w:lineRule="exact"/>
        <w:jc w:val="center"/>
        <w:textAlignment w:val="auto"/>
        <w:rPr>
          <w:rFonts w:hint="default" w:ascii="Times New Roman" w:hAnsi="Times New Roman" w:eastAsia="方正小标宋简体" w:cs="Times New Roman"/>
          <w:spacing w:val="-6"/>
          <w:sz w:val="44"/>
          <w:szCs w:val="44"/>
          <w:highlight w:val="none"/>
          <w:lang w:val="en-US" w:eastAsia="zh-CN"/>
        </w:rPr>
      </w:pPr>
      <w:r>
        <w:rPr>
          <w:rFonts w:hint="default" w:ascii="Times New Roman" w:hAnsi="Times New Roman" w:eastAsia="方正小标宋简体" w:cs="Times New Roman"/>
          <w:spacing w:val="-6"/>
          <w:sz w:val="44"/>
          <w:szCs w:val="44"/>
          <w:highlight w:val="none"/>
          <w:lang w:val="en-US" w:eastAsia="zh-CN"/>
        </w:rPr>
        <w:t>从事对温度、湿度等有特殊要求的食品贮存业务的</w:t>
      </w:r>
    </w:p>
    <w:p>
      <w:pPr>
        <w:keepNext w:val="0"/>
        <w:keepLines w:val="0"/>
        <w:pageBreakBefore w:val="0"/>
        <w:widowControl w:val="0"/>
        <w:kinsoku/>
        <w:wordWrap/>
        <w:overflowPunct w:val="0"/>
        <w:topLinePunct w:val="0"/>
        <w:autoSpaceDE/>
        <w:autoSpaceDN/>
        <w:bidi w:val="0"/>
        <w:adjustRightInd/>
        <w:snapToGrid w:val="0"/>
        <w:spacing w:line="500" w:lineRule="exact"/>
        <w:jc w:val="center"/>
        <w:textAlignment w:val="auto"/>
        <w:rPr>
          <w:rFonts w:hint="default" w:ascii="Times New Roman" w:hAnsi="Times New Roman" w:eastAsia="方正小标宋简体" w:cs="Times New Roman"/>
          <w:spacing w:val="-6"/>
          <w:sz w:val="44"/>
          <w:szCs w:val="44"/>
          <w:highlight w:val="none"/>
          <w:lang w:val="en-US" w:eastAsia="zh-CN"/>
        </w:rPr>
      </w:pPr>
      <w:r>
        <w:rPr>
          <w:rFonts w:hint="default" w:ascii="Times New Roman" w:hAnsi="Times New Roman" w:eastAsia="方正小标宋简体" w:cs="Times New Roman"/>
          <w:spacing w:val="-6"/>
          <w:sz w:val="44"/>
          <w:szCs w:val="44"/>
          <w:highlight w:val="none"/>
          <w:lang w:val="en-US" w:eastAsia="zh-CN"/>
        </w:rPr>
        <w:t>非食品生产经营者动态风险因素量化分值表</w:t>
      </w:r>
    </w:p>
    <w:p>
      <w:pPr>
        <w:keepNext w:val="0"/>
        <w:keepLines w:val="0"/>
        <w:pageBreakBefore w:val="0"/>
        <w:widowControl w:val="0"/>
        <w:kinsoku/>
        <w:wordWrap/>
        <w:overflowPunct w:val="0"/>
        <w:topLinePunct w:val="0"/>
        <w:autoSpaceDE/>
        <w:autoSpaceDN/>
        <w:bidi w:val="0"/>
        <w:adjustRightInd/>
        <w:snapToGrid w:val="0"/>
        <w:spacing w:line="500" w:lineRule="exact"/>
        <w:jc w:val="center"/>
        <w:textAlignment w:val="auto"/>
        <w:rPr>
          <w:rFonts w:hint="eastAsia" w:ascii="楷体_GB2312" w:hAnsi="楷体_GB2312" w:eastAsia="楷体_GB2312" w:cs="楷体_GB2312"/>
          <w:b/>
          <w:bCs/>
          <w:i w:val="0"/>
          <w:iCs w:val="0"/>
          <w:color w:val="000000"/>
          <w:spacing w:val="-6"/>
          <w:kern w:val="0"/>
          <w:sz w:val="32"/>
          <w:szCs w:val="32"/>
          <w:highlight w:val="none"/>
          <w:u w:val="none"/>
          <w:lang w:val="en-US" w:eastAsia="zh-CN" w:bidi="ar"/>
        </w:rPr>
      </w:pPr>
      <w:r>
        <w:rPr>
          <w:rFonts w:hint="eastAsia" w:ascii="楷体_GB2312" w:hAnsi="楷体_GB2312" w:eastAsia="楷体_GB2312" w:cs="楷体_GB2312"/>
          <w:b/>
          <w:bCs/>
          <w:i w:val="0"/>
          <w:iCs w:val="0"/>
          <w:color w:val="000000"/>
          <w:spacing w:val="-6"/>
          <w:kern w:val="0"/>
          <w:sz w:val="32"/>
          <w:szCs w:val="32"/>
          <w:highlight w:val="none"/>
          <w:u w:val="none"/>
          <w:lang w:val="en-US" w:eastAsia="zh-CN" w:bidi="ar"/>
        </w:rPr>
        <w:t>（日常监督检查要点表）</w:t>
      </w:r>
    </w:p>
    <w:p>
      <w:pPr>
        <w:keepNext w:val="0"/>
        <w:keepLines w:val="0"/>
        <w:pageBreakBefore w:val="0"/>
        <w:widowControl w:val="0"/>
        <w:kinsoku/>
        <w:wordWrap/>
        <w:overflowPunct w:val="0"/>
        <w:topLinePunct w:val="0"/>
        <w:autoSpaceDE/>
        <w:autoSpaceDN/>
        <w:bidi w:val="0"/>
        <w:adjustRightInd/>
        <w:snapToGrid w:val="0"/>
        <w:spacing w:line="500" w:lineRule="exact"/>
        <w:jc w:val="center"/>
        <w:textAlignment w:val="auto"/>
        <w:rPr>
          <w:rFonts w:hint="default" w:ascii="Times New Roman" w:hAnsi="Times New Roman" w:eastAsia="仿宋_GB2312" w:cs="Times New Roman"/>
          <w:i w:val="0"/>
          <w:iCs w:val="0"/>
          <w:color w:val="000000"/>
          <w:spacing w:val="-6"/>
          <w:kern w:val="0"/>
          <w:sz w:val="32"/>
          <w:szCs w:val="32"/>
          <w:highlight w:val="none"/>
          <w:u w:val="none"/>
          <w:lang w:val="en-US" w:eastAsia="zh-CN" w:bidi="ar"/>
        </w:rPr>
      </w:pPr>
    </w:p>
    <w:p>
      <w:pPr>
        <w:keepNext w:val="0"/>
        <w:keepLines w:val="0"/>
        <w:pageBreakBefore w:val="0"/>
        <w:widowControl w:val="0"/>
        <w:kinsoku/>
        <w:wordWrap/>
        <w:overflowPunct w:val="0"/>
        <w:topLinePunct w:val="0"/>
        <w:autoSpaceDE/>
        <w:autoSpaceDN/>
        <w:bidi w:val="0"/>
        <w:adjustRightInd w:val="0"/>
        <w:snapToGrid w:val="0"/>
        <w:spacing w:line="500" w:lineRule="exact"/>
        <w:jc w:val="both"/>
        <w:textAlignment w:val="auto"/>
        <w:rPr>
          <w:rFonts w:hint="eastAsia" w:ascii="黑体" w:hAnsi="黑体" w:eastAsia="黑体" w:cs="黑体"/>
          <w:snapToGrid w:val="0"/>
          <w:color w:val="000000"/>
          <w:spacing w:val="0"/>
          <w:kern w:val="0"/>
          <w:sz w:val="28"/>
          <w:szCs w:val="28"/>
          <w:highlight w:val="none"/>
          <w:lang w:eastAsia="zh-CN"/>
        </w:rPr>
      </w:pPr>
      <w:r>
        <w:rPr>
          <w:rFonts w:hint="eastAsia" w:ascii="黑体" w:hAnsi="黑体" w:eastAsia="黑体" w:cs="黑体"/>
          <w:i w:val="0"/>
          <w:iCs w:val="0"/>
          <w:snapToGrid w:val="0"/>
          <w:color w:val="000000"/>
          <w:spacing w:val="0"/>
          <w:kern w:val="0"/>
          <w:sz w:val="28"/>
          <w:szCs w:val="28"/>
          <w:highlight w:val="none"/>
          <w:u w:val="none"/>
          <w:lang w:val="en-US" w:eastAsia="zh-CN" w:bidi="ar"/>
        </w:rPr>
        <w:t>检查对象名称：</w:t>
      </w:r>
      <w:r>
        <w:rPr>
          <w:rStyle w:val="18"/>
          <w:rFonts w:hint="eastAsia" w:ascii="黑体" w:hAnsi="黑体" w:eastAsia="黑体" w:cs="黑体"/>
          <w:snapToGrid w:val="0"/>
          <w:spacing w:val="0"/>
          <w:kern w:val="0"/>
          <w:sz w:val="28"/>
          <w:szCs w:val="28"/>
          <w:highlight w:val="none"/>
          <w:lang w:val="en-US" w:eastAsia="zh-CN" w:bidi="ar"/>
        </w:rPr>
        <w:t>　　　     　　</w:t>
      </w:r>
      <w:r>
        <w:rPr>
          <w:rFonts w:hint="eastAsia" w:ascii="黑体" w:hAnsi="黑体" w:eastAsia="黑体" w:cs="黑体"/>
          <w:i w:val="0"/>
          <w:iCs w:val="0"/>
          <w:snapToGrid w:val="0"/>
          <w:color w:val="000000"/>
          <w:spacing w:val="0"/>
          <w:kern w:val="0"/>
          <w:sz w:val="28"/>
          <w:szCs w:val="28"/>
          <w:highlight w:val="none"/>
          <w:u w:val="none"/>
          <w:lang w:val="en-US" w:eastAsia="zh-CN" w:bidi="ar"/>
        </w:rPr>
        <w:t xml:space="preserve">    社会信用代码/注册号</w:t>
      </w:r>
      <w:r>
        <w:rPr>
          <w:rFonts w:hint="eastAsia" w:ascii="黑体" w:hAnsi="黑体" w:eastAsia="黑体" w:cs="黑体"/>
          <w:bCs/>
          <w:snapToGrid w:val="0"/>
          <w:spacing w:val="0"/>
          <w:kern w:val="0"/>
          <w:sz w:val="28"/>
          <w:szCs w:val="28"/>
        </w:rPr>
        <w:t>：</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bCs/>
          <w:snapToGrid w:val="0"/>
          <w:spacing w:val="0"/>
          <w:kern w:val="0"/>
          <w:sz w:val="28"/>
          <w:szCs w:val="28"/>
          <w:u w:val="single"/>
          <w:lang w:val="en-US" w:eastAsia="zh-CN"/>
        </w:rPr>
        <w:t xml:space="preserve">    </w:t>
      </w:r>
      <w:r>
        <w:rPr>
          <w:rFonts w:hint="eastAsia" w:ascii="黑体" w:hAnsi="黑体" w:eastAsia="黑体" w:cs="黑体"/>
          <w:bCs/>
          <w:snapToGrid w:val="0"/>
          <w:spacing w:val="0"/>
          <w:kern w:val="0"/>
          <w:sz w:val="28"/>
          <w:szCs w:val="28"/>
          <w:u w:val="single"/>
        </w:rPr>
        <w:t xml:space="preserve">     </w:t>
      </w:r>
      <w:r>
        <w:rPr>
          <w:rFonts w:hint="eastAsia" w:ascii="黑体" w:hAnsi="黑体" w:eastAsia="黑体" w:cs="黑体"/>
          <w:bCs/>
          <w:snapToGrid w:val="0"/>
          <w:spacing w:val="0"/>
          <w:kern w:val="0"/>
          <w:sz w:val="28"/>
          <w:szCs w:val="28"/>
          <w:u w:val="single"/>
          <w:lang w:val="en-US" w:eastAsia="zh-CN"/>
        </w:rPr>
        <w:t xml:space="preserve"> </w:t>
      </w:r>
      <w:r>
        <w:rPr>
          <w:rFonts w:hint="eastAsia" w:ascii="黑体" w:hAnsi="黑体" w:eastAsia="黑体" w:cs="黑体"/>
          <w:bCs/>
          <w:snapToGrid w:val="0"/>
          <w:spacing w:val="0"/>
          <w:kern w:val="0"/>
          <w:sz w:val="28"/>
          <w:szCs w:val="28"/>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 xml:space="preserve">   时间：</w:t>
      </w:r>
      <w:r>
        <w:rPr>
          <w:rStyle w:val="18"/>
          <w:rFonts w:hint="eastAsia" w:ascii="黑体" w:hAnsi="黑体" w:eastAsia="黑体" w:cs="黑体"/>
          <w:snapToGrid w:val="0"/>
          <w:spacing w:val="0"/>
          <w:kern w:val="0"/>
          <w:sz w:val="28"/>
          <w:szCs w:val="28"/>
          <w:highlight w:val="none"/>
          <w:lang w:val="en-US" w:eastAsia="zh-CN" w:bidi="ar"/>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 xml:space="preserve">年 </w:t>
      </w:r>
      <w:r>
        <w:rPr>
          <w:rStyle w:val="18"/>
          <w:rFonts w:hint="eastAsia" w:ascii="黑体" w:hAnsi="黑体" w:eastAsia="黑体" w:cs="黑体"/>
          <w:snapToGrid w:val="0"/>
          <w:spacing w:val="0"/>
          <w:kern w:val="0"/>
          <w:sz w:val="28"/>
          <w:szCs w:val="28"/>
          <w:highlight w:val="none"/>
          <w:lang w:val="en-US" w:eastAsia="zh-CN" w:bidi="ar"/>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月</w:t>
      </w:r>
      <w:r>
        <w:rPr>
          <w:rStyle w:val="18"/>
          <w:rFonts w:hint="eastAsia" w:ascii="黑体" w:hAnsi="黑体" w:eastAsia="黑体" w:cs="黑体"/>
          <w:snapToGrid w:val="0"/>
          <w:spacing w:val="0"/>
          <w:kern w:val="0"/>
          <w:sz w:val="28"/>
          <w:szCs w:val="28"/>
          <w:highlight w:val="none"/>
          <w:lang w:val="en-US" w:eastAsia="zh-CN" w:bidi="ar"/>
        </w:rPr>
        <w:t xml:space="preserve">    </w:t>
      </w:r>
      <w:r>
        <w:rPr>
          <w:rFonts w:hint="eastAsia" w:ascii="黑体" w:hAnsi="黑体" w:eastAsia="黑体" w:cs="黑体"/>
          <w:i w:val="0"/>
          <w:iCs w:val="0"/>
          <w:snapToGrid w:val="0"/>
          <w:color w:val="000000"/>
          <w:spacing w:val="0"/>
          <w:kern w:val="0"/>
          <w:sz w:val="28"/>
          <w:szCs w:val="28"/>
          <w:highlight w:val="none"/>
          <w:u w:val="none"/>
          <w:lang w:val="en-US" w:eastAsia="zh-CN" w:bidi="ar"/>
        </w:rPr>
        <w:t>日</w:t>
      </w:r>
    </w:p>
    <w:tbl>
      <w:tblPr>
        <w:tblStyle w:val="9"/>
        <w:tblW w:w="14173"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13"/>
        <w:gridCol w:w="1098"/>
        <w:gridCol w:w="7005"/>
        <w:gridCol w:w="1593"/>
        <w:gridCol w:w="866"/>
        <w:gridCol w:w="819"/>
        <w:gridCol w:w="12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tblHeader/>
          <w:jc w:val="center"/>
        </w:trPr>
        <w:tc>
          <w:tcPr>
            <w:tcW w:w="151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b w:val="0"/>
                <w:bCs w:val="0"/>
                <w:i w:val="0"/>
                <w:iCs w:val="0"/>
                <w:color w:val="auto"/>
                <w:spacing w:val="0"/>
                <w:sz w:val="24"/>
                <w:szCs w:val="24"/>
                <w:highlight w:val="none"/>
                <w:u w:val="none"/>
              </w:rPr>
            </w:pPr>
            <w:r>
              <w:rPr>
                <w:rFonts w:hint="eastAsia" w:ascii="黑体" w:hAnsi="黑体" w:eastAsia="黑体" w:cs="黑体"/>
                <w:b w:val="0"/>
                <w:bCs w:val="0"/>
                <w:i w:val="0"/>
                <w:iCs w:val="0"/>
                <w:color w:val="auto"/>
                <w:spacing w:val="0"/>
                <w:kern w:val="0"/>
                <w:sz w:val="24"/>
                <w:szCs w:val="24"/>
                <w:highlight w:val="none"/>
                <w:u w:val="none"/>
                <w:lang w:val="en-US" w:eastAsia="zh-CN" w:bidi="ar"/>
              </w:rPr>
              <w:t>检查项目</w:t>
            </w: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b w:val="0"/>
                <w:bCs w:val="0"/>
                <w:i w:val="0"/>
                <w:iCs w:val="0"/>
                <w:color w:val="auto"/>
                <w:spacing w:val="0"/>
                <w:sz w:val="24"/>
                <w:szCs w:val="24"/>
                <w:highlight w:val="none"/>
                <w:u w:val="none"/>
              </w:rPr>
            </w:pPr>
            <w:r>
              <w:rPr>
                <w:rFonts w:hint="eastAsia" w:ascii="黑体" w:hAnsi="黑体" w:eastAsia="黑体" w:cs="黑体"/>
                <w:b w:val="0"/>
                <w:bCs w:val="0"/>
                <w:i w:val="0"/>
                <w:iCs w:val="0"/>
                <w:color w:val="auto"/>
                <w:spacing w:val="0"/>
                <w:kern w:val="0"/>
                <w:sz w:val="24"/>
                <w:szCs w:val="24"/>
                <w:highlight w:val="none"/>
                <w:u w:val="none"/>
                <w:lang w:val="en-US" w:eastAsia="zh-CN" w:bidi="ar"/>
              </w:rPr>
              <w:t>序号</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b w:val="0"/>
                <w:bCs w:val="0"/>
                <w:i w:val="0"/>
                <w:iCs w:val="0"/>
                <w:color w:val="auto"/>
                <w:spacing w:val="0"/>
                <w:sz w:val="24"/>
                <w:szCs w:val="24"/>
                <w:highlight w:val="none"/>
                <w:u w:val="none"/>
              </w:rPr>
            </w:pPr>
            <w:r>
              <w:rPr>
                <w:rFonts w:hint="eastAsia" w:ascii="黑体" w:hAnsi="黑体" w:eastAsia="黑体" w:cs="黑体"/>
                <w:b w:val="0"/>
                <w:bCs w:val="0"/>
                <w:i w:val="0"/>
                <w:iCs w:val="0"/>
                <w:color w:val="auto"/>
                <w:spacing w:val="0"/>
                <w:kern w:val="0"/>
                <w:sz w:val="24"/>
                <w:szCs w:val="24"/>
                <w:highlight w:val="none"/>
                <w:u w:val="none"/>
                <w:lang w:val="en-US" w:eastAsia="zh-CN" w:bidi="ar"/>
              </w:rPr>
              <w:t>检查内容</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b w:val="0"/>
                <w:bCs w:val="0"/>
                <w:i w:val="0"/>
                <w:iCs w:val="0"/>
                <w:color w:val="auto"/>
                <w:spacing w:val="0"/>
                <w:sz w:val="24"/>
                <w:szCs w:val="24"/>
                <w:highlight w:val="none"/>
                <w:u w:val="none"/>
              </w:rPr>
            </w:pPr>
            <w:r>
              <w:rPr>
                <w:rFonts w:hint="eastAsia" w:ascii="黑体" w:hAnsi="黑体" w:eastAsia="黑体" w:cs="黑体"/>
                <w:b w:val="0"/>
                <w:bCs w:val="0"/>
                <w:i w:val="0"/>
                <w:iCs w:val="0"/>
                <w:color w:val="auto"/>
                <w:spacing w:val="0"/>
                <w:kern w:val="0"/>
                <w:sz w:val="24"/>
                <w:szCs w:val="24"/>
                <w:highlight w:val="none"/>
                <w:u w:val="none"/>
                <w:lang w:val="en-US" w:eastAsia="zh-CN" w:bidi="ar"/>
              </w:rPr>
              <w:t>检查结果</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b w:val="0"/>
                <w:bCs w:val="0"/>
                <w:i w:val="0"/>
                <w:iCs w:val="0"/>
                <w:color w:val="auto"/>
                <w:spacing w:val="0"/>
                <w:sz w:val="24"/>
                <w:szCs w:val="24"/>
                <w:highlight w:val="none"/>
                <w:u w:val="none"/>
              </w:rPr>
            </w:pPr>
            <w:r>
              <w:rPr>
                <w:rFonts w:hint="eastAsia" w:ascii="黑体" w:hAnsi="黑体" w:eastAsia="黑体" w:cs="黑体"/>
                <w:b w:val="0"/>
                <w:bCs w:val="0"/>
                <w:i w:val="0"/>
                <w:iCs w:val="0"/>
                <w:color w:val="auto"/>
                <w:spacing w:val="0"/>
                <w:kern w:val="0"/>
                <w:sz w:val="24"/>
                <w:szCs w:val="24"/>
                <w:highlight w:val="none"/>
                <w:u w:val="none"/>
                <w:lang w:val="en-US" w:eastAsia="zh-CN" w:bidi="ar"/>
              </w:rPr>
              <w:t>分值</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b w:val="0"/>
                <w:bCs w:val="0"/>
                <w:i w:val="0"/>
                <w:iCs w:val="0"/>
                <w:color w:val="auto"/>
                <w:spacing w:val="0"/>
                <w:kern w:val="0"/>
                <w:sz w:val="24"/>
                <w:szCs w:val="24"/>
                <w:highlight w:val="none"/>
                <w:u w:val="none"/>
                <w:lang w:val="en-US" w:eastAsia="zh-CN" w:bidi="ar"/>
              </w:rPr>
            </w:pPr>
            <w:r>
              <w:rPr>
                <w:rFonts w:hint="eastAsia" w:ascii="黑体" w:hAnsi="黑体" w:eastAsia="黑体" w:cs="黑体"/>
                <w:b w:val="0"/>
                <w:bCs w:val="0"/>
                <w:i w:val="0"/>
                <w:iCs w:val="0"/>
                <w:color w:val="auto"/>
                <w:spacing w:val="0"/>
                <w:kern w:val="0"/>
                <w:sz w:val="24"/>
                <w:szCs w:val="24"/>
                <w:highlight w:val="none"/>
                <w:u w:val="none"/>
                <w:lang w:val="en-US" w:eastAsia="zh-CN" w:bidi="ar"/>
              </w:rPr>
              <w:t>得分</w:t>
            </w: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b w:val="0"/>
                <w:bCs w:val="0"/>
                <w:i w:val="0"/>
                <w:iCs w:val="0"/>
                <w:color w:val="auto"/>
                <w:spacing w:val="0"/>
                <w:kern w:val="0"/>
                <w:sz w:val="24"/>
                <w:szCs w:val="24"/>
                <w:highlight w:val="none"/>
                <w:u w:val="none"/>
                <w:lang w:val="en-US" w:eastAsia="zh-CN" w:bidi="ar"/>
              </w:rPr>
            </w:pPr>
            <w:r>
              <w:rPr>
                <w:rFonts w:hint="eastAsia" w:ascii="黑体" w:hAnsi="黑体" w:eastAsia="黑体" w:cs="黑体"/>
                <w:b w:val="0"/>
                <w:bCs w:val="0"/>
                <w:i w:val="0"/>
                <w:iCs w:val="0"/>
                <w:color w:val="auto"/>
                <w:spacing w:val="0"/>
                <w:kern w:val="0"/>
                <w:sz w:val="24"/>
                <w:szCs w:val="24"/>
                <w:highlight w:val="none"/>
                <w:u w:val="none"/>
                <w:lang w:val="en-US" w:eastAsia="zh-CN" w:bidi="ar"/>
              </w:rPr>
              <w:t>存在问题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58" w:hRule="atLeast"/>
          <w:jc w:val="center"/>
        </w:trPr>
        <w:tc>
          <w:tcPr>
            <w:tcW w:w="1513" w:type="dxa"/>
            <w:vMerge w:val="restart"/>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1.主体资格</w:t>
            </w: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★1.1</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贮存服务提供者持有的营业执照合法有效。</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4</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26" w:hRule="atLeast"/>
          <w:jc w:val="center"/>
        </w:trPr>
        <w:tc>
          <w:tcPr>
            <w:tcW w:w="151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仿宋_GB2312" w:hAnsi="仿宋_GB2312" w:eastAsia="仿宋_GB2312" w:cs="仿宋_GB2312"/>
                <w:i w:val="0"/>
                <w:iCs w:val="0"/>
                <w:color w:val="auto"/>
                <w:spacing w:val="0"/>
                <w:sz w:val="24"/>
                <w:szCs w:val="24"/>
                <w:highlight w:val="none"/>
                <w:u w:val="none"/>
              </w:rPr>
            </w:pP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★1.2</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已按照规定向所在地县级食品安全监督管理部门备案。</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4</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96" w:hRule="atLeast"/>
          <w:jc w:val="center"/>
        </w:trPr>
        <w:tc>
          <w:tcPr>
            <w:tcW w:w="1513" w:type="dxa"/>
            <w:vMerge w:val="restart"/>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2.贮存过程管理</w:t>
            </w: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★2.1</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贮存、装卸食品的容器、工具和设备安全、无害，保持清洁。</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4</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jc w:val="center"/>
        </w:trPr>
        <w:tc>
          <w:tcPr>
            <w:tcW w:w="151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仿宋_GB2312" w:hAnsi="仿宋_GB2312" w:eastAsia="仿宋_GB2312" w:cs="仿宋_GB2312"/>
                <w:i w:val="0"/>
                <w:iCs w:val="0"/>
                <w:color w:val="auto"/>
                <w:spacing w:val="0"/>
                <w:sz w:val="24"/>
                <w:szCs w:val="24"/>
                <w:highlight w:val="none"/>
                <w:u w:val="none"/>
              </w:rPr>
            </w:pP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★2.2</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具备保温、冷藏或者冷冻等设备设施，并保持有效运行。</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4</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jc w:val="center"/>
        </w:trPr>
        <w:tc>
          <w:tcPr>
            <w:tcW w:w="151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仿宋_GB2312" w:hAnsi="仿宋_GB2312" w:eastAsia="仿宋_GB2312" w:cs="仿宋_GB2312"/>
                <w:i w:val="0"/>
                <w:iCs w:val="0"/>
                <w:color w:val="auto"/>
                <w:spacing w:val="0"/>
                <w:sz w:val="24"/>
                <w:szCs w:val="24"/>
                <w:highlight w:val="none"/>
                <w:u w:val="none"/>
              </w:rPr>
            </w:pP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★2.3</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未将食品与有毒、有害物品一同贮存。</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4</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42" w:hRule="atLeast"/>
          <w:jc w:val="center"/>
        </w:trPr>
        <w:tc>
          <w:tcPr>
            <w:tcW w:w="151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仿宋_GB2312" w:hAnsi="仿宋_GB2312" w:eastAsia="仿宋_GB2312" w:cs="仿宋_GB2312"/>
                <w:i w:val="0"/>
                <w:iCs w:val="0"/>
                <w:color w:val="auto"/>
                <w:spacing w:val="0"/>
                <w:sz w:val="24"/>
                <w:szCs w:val="24"/>
                <w:highlight w:val="none"/>
                <w:u w:val="none"/>
              </w:rPr>
            </w:pP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★2.4</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按照相关标准或标签标示要求贮存冷藏冷冻食品，加强贮存过程管理，确保冷藏冷冻食品贮存条件持续符合食品安全的要求，并按照委托方要求定期测定并记录冷藏冷冻食品温度。</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5</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647" w:hRule="atLeast"/>
          <w:jc w:val="center"/>
        </w:trPr>
        <w:tc>
          <w:tcPr>
            <w:tcW w:w="151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仿宋_GB2312" w:hAnsi="仿宋_GB2312" w:eastAsia="仿宋_GB2312" w:cs="仿宋_GB2312"/>
                <w:i w:val="0"/>
                <w:iCs w:val="0"/>
                <w:color w:val="auto"/>
                <w:spacing w:val="0"/>
                <w:sz w:val="24"/>
                <w:szCs w:val="24"/>
                <w:highlight w:val="none"/>
                <w:u w:val="none"/>
              </w:rPr>
            </w:pP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★2.5</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留存委托方的食品生产经营许可证（或仅销售预包装食品备案信息采集表）复印件、统一社会信用代码等合法资质证明文件，如实记录委托方的名称、地址、联系方式以及委托贮存的冷藏冷冻食品名称、数量、时间等内容。</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5</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29" w:hRule="atLeast"/>
          <w:jc w:val="center"/>
        </w:trPr>
        <w:tc>
          <w:tcPr>
            <w:tcW w:w="1513" w:type="dxa"/>
            <w:vMerge w:val="restart"/>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2.贮存过程管理</w:t>
            </w: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★2.6</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贮存肉类冻品查验并留存有关动物检疫合格证明、肉品品质检验合格证明等证明文件。</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r>
              <w:rPr>
                <w:rFonts w:hint="eastAsia" w:ascii="仿宋_GB2312" w:hAnsi="仿宋_GB2312" w:eastAsia="仿宋_GB2312" w:cs="仿宋_GB2312"/>
                <w:i w:val="0"/>
                <w:iCs w:val="0"/>
                <w:color w:val="auto"/>
                <w:spacing w:val="0"/>
                <w:kern w:val="0"/>
                <w:sz w:val="24"/>
                <w:szCs w:val="24"/>
                <w:highlight w:val="none"/>
                <w:u w:val="none"/>
                <w:lang w:val="en-US" w:eastAsia="zh-CN" w:bidi="ar"/>
              </w:rPr>
              <w:br w:type="textWrapping"/>
            </w:r>
            <w:r>
              <w:rPr>
                <w:rFonts w:hint="eastAsia" w:ascii="仿宋_GB2312" w:hAnsi="仿宋_GB2312" w:eastAsia="仿宋_GB2312" w:cs="仿宋_GB2312"/>
                <w:i w:val="0"/>
                <w:iCs w:val="0"/>
                <w:color w:val="auto"/>
                <w:spacing w:val="0"/>
                <w:kern w:val="0"/>
                <w:sz w:val="24"/>
                <w:szCs w:val="24"/>
                <w:highlight w:val="none"/>
                <w:u w:val="none"/>
                <w:lang w:val="en-US" w:eastAsia="zh-CN" w:bidi="ar"/>
              </w:rPr>
              <w:t>□合理缺项</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lang w:val="en-US" w:eastAsia="zh-CN"/>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4</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90" w:hRule="atLeast"/>
          <w:jc w:val="center"/>
        </w:trPr>
        <w:tc>
          <w:tcPr>
            <w:tcW w:w="151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仿宋_GB2312" w:hAnsi="仿宋_GB2312" w:eastAsia="仿宋_GB2312" w:cs="仿宋_GB2312"/>
                <w:i w:val="0"/>
                <w:iCs w:val="0"/>
                <w:color w:val="auto"/>
                <w:spacing w:val="0"/>
                <w:sz w:val="24"/>
                <w:szCs w:val="24"/>
                <w:highlight w:val="none"/>
                <w:u w:val="none"/>
              </w:rPr>
            </w:pP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★2.7</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贮存进口食用农产品查验并留存海关部门出具的入境货物检验检疫证明等证明文件。</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r>
              <w:rPr>
                <w:rFonts w:hint="eastAsia" w:ascii="仿宋_GB2312" w:hAnsi="仿宋_GB2312" w:eastAsia="仿宋_GB2312" w:cs="仿宋_GB2312"/>
                <w:i w:val="0"/>
                <w:iCs w:val="0"/>
                <w:color w:val="auto"/>
                <w:spacing w:val="0"/>
                <w:kern w:val="0"/>
                <w:sz w:val="24"/>
                <w:szCs w:val="24"/>
                <w:highlight w:val="none"/>
                <w:u w:val="none"/>
                <w:lang w:val="en-US" w:eastAsia="zh-CN" w:bidi="ar"/>
              </w:rPr>
              <w:br w:type="textWrapping"/>
            </w:r>
            <w:r>
              <w:rPr>
                <w:rFonts w:hint="eastAsia" w:ascii="仿宋_GB2312" w:hAnsi="仿宋_GB2312" w:eastAsia="仿宋_GB2312" w:cs="仿宋_GB2312"/>
                <w:i w:val="0"/>
                <w:iCs w:val="0"/>
                <w:color w:val="auto"/>
                <w:spacing w:val="0"/>
                <w:kern w:val="0"/>
                <w:sz w:val="24"/>
                <w:szCs w:val="24"/>
                <w:highlight w:val="none"/>
                <w:u w:val="none"/>
                <w:lang w:val="en-US" w:eastAsia="zh-CN" w:bidi="ar"/>
              </w:rPr>
              <w:t>□合理缺项</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4</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47" w:hRule="atLeast"/>
          <w:jc w:val="center"/>
        </w:trPr>
        <w:tc>
          <w:tcPr>
            <w:tcW w:w="151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仿宋_GB2312" w:hAnsi="仿宋_GB2312" w:eastAsia="仿宋_GB2312" w:cs="仿宋_GB2312"/>
                <w:i w:val="0"/>
                <w:iCs w:val="0"/>
                <w:color w:val="auto"/>
                <w:spacing w:val="0"/>
                <w:sz w:val="24"/>
                <w:szCs w:val="24"/>
                <w:highlight w:val="none"/>
                <w:u w:val="none"/>
              </w:rPr>
            </w:pP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2.8</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涉及委托方及贮存食品的相关记录和凭证保存期限不得少于贮存结束后2年，涉及贮存食用农产品的进出货台账和相关证明材料保存6个月以上。</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lang w:val="en-US" w:eastAsia="zh-CN"/>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3</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jc w:val="center"/>
        </w:trPr>
        <w:tc>
          <w:tcPr>
            <w:tcW w:w="151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仿宋_GB2312" w:hAnsi="仿宋_GB2312" w:eastAsia="仿宋_GB2312" w:cs="仿宋_GB2312"/>
                <w:i w:val="0"/>
                <w:iCs w:val="0"/>
                <w:color w:val="auto"/>
                <w:spacing w:val="0"/>
                <w:sz w:val="24"/>
                <w:szCs w:val="24"/>
                <w:highlight w:val="none"/>
                <w:u w:val="none"/>
              </w:rPr>
            </w:pP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2.9</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定期检查库存食用农产品。</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p>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□合理缺项</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lang w:val="en-US" w:eastAsia="zh-CN"/>
              </w:rPr>
            </w:pPr>
            <w:r>
              <w:rPr>
                <w:rFonts w:hint="eastAsia" w:ascii="仿宋_GB2312" w:hAnsi="仿宋_GB2312" w:eastAsia="仿宋_GB2312" w:cs="仿宋_GB2312"/>
                <w:i w:val="0"/>
                <w:iCs w:val="0"/>
                <w:color w:val="auto"/>
                <w:spacing w:val="0"/>
                <w:sz w:val="24"/>
                <w:szCs w:val="24"/>
                <w:highlight w:val="none"/>
                <w:u w:val="none"/>
                <w:lang w:val="en-US" w:eastAsia="zh-CN"/>
              </w:rPr>
              <w:t>3</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jc w:val="center"/>
        </w:trPr>
        <w:tc>
          <w:tcPr>
            <w:tcW w:w="1513" w:type="dxa"/>
            <w:vMerge w:val="continue"/>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仿宋_GB2312" w:hAnsi="仿宋_GB2312" w:eastAsia="仿宋_GB2312" w:cs="仿宋_GB2312"/>
                <w:i w:val="0"/>
                <w:iCs w:val="0"/>
                <w:color w:val="auto"/>
                <w:spacing w:val="0"/>
                <w:sz w:val="24"/>
                <w:szCs w:val="24"/>
                <w:highlight w:val="none"/>
                <w:u w:val="none"/>
              </w:rPr>
            </w:pPr>
          </w:p>
        </w:tc>
        <w:tc>
          <w:tcPr>
            <w:tcW w:w="1098"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lang w:val="en-US"/>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★2.10</w:t>
            </w:r>
          </w:p>
        </w:tc>
        <w:tc>
          <w:tcPr>
            <w:tcW w:w="7005"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发现委托方有违法行为的，及时制止并立即报告所在地县级市场监管部门。</w:t>
            </w:r>
          </w:p>
        </w:tc>
        <w:tc>
          <w:tcPr>
            <w:tcW w:w="1593"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left"/>
              <w:textAlignment w:val="center"/>
              <w:rPr>
                <w:rFonts w:hint="eastAsia" w:ascii="仿宋_GB2312" w:hAnsi="仿宋_GB2312" w:eastAsia="仿宋_GB2312" w:cs="仿宋_GB2312"/>
                <w:i w:val="0"/>
                <w:iCs w:val="0"/>
                <w:color w:val="auto"/>
                <w:spacing w:val="0"/>
                <w:sz w:val="24"/>
                <w:szCs w:val="24"/>
                <w:highlight w:val="none"/>
                <w:u w:val="none"/>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□是 □否</w:t>
            </w:r>
            <w:r>
              <w:rPr>
                <w:rFonts w:hint="eastAsia" w:ascii="仿宋_GB2312" w:hAnsi="仿宋_GB2312" w:eastAsia="仿宋_GB2312" w:cs="仿宋_GB2312"/>
                <w:i w:val="0"/>
                <w:iCs w:val="0"/>
                <w:color w:val="auto"/>
                <w:spacing w:val="0"/>
                <w:kern w:val="0"/>
                <w:sz w:val="24"/>
                <w:szCs w:val="24"/>
                <w:highlight w:val="none"/>
                <w:u w:val="none"/>
                <w:lang w:val="en-US" w:eastAsia="zh-CN" w:bidi="ar"/>
              </w:rPr>
              <w:br w:type="textWrapping"/>
            </w:r>
            <w:r>
              <w:rPr>
                <w:rFonts w:hint="eastAsia" w:ascii="仿宋_GB2312" w:hAnsi="仿宋_GB2312" w:eastAsia="仿宋_GB2312" w:cs="仿宋_GB2312"/>
                <w:i w:val="0"/>
                <w:iCs w:val="0"/>
                <w:color w:val="auto"/>
                <w:spacing w:val="0"/>
                <w:kern w:val="0"/>
                <w:sz w:val="24"/>
                <w:szCs w:val="24"/>
                <w:highlight w:val="none"/>
                <w:u w:val="none"/>
                <w:lang w:val="en-US" w:eastAsia="zh-CN" w:bidi="ar"/>
              </w:rPr>
              <w:t>□合理缺项</w:t>
            </w:r>
          </w:p>
        </w:tc>
        <w:tc>
          <w:tcPr>
            <w:tcW w:w="866"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仿宋_GB2312" w:hAnsi="仿宋_GB2312" w:eastAsia="仿宋_GB2312" w:cs="仿宋_GB2312"/>
                <w:i w:val="0"/>
                <w:iCs w:val="0"/>
                <w:color w:val="auto"/>
                <w:spacing w:val="0"/>
                <w:sz w:val="24"/>
                <w:szCs w:val="24"/>
                <w:highlight w:val="none"/>
                <w:u w:val="none"/>
                <w:lang w:val="en-US" w:eastAsia="zh-CN"/>
              </w:rPr>
            </w:pPr>
            <w:r>
              <w:rPr>
                <w:rFonts w:hint="eastAsia" w:ascii="仿宋_GB2312" w:hAnsi="仿宋_GB2312" w:eastAsia="仿宋_GB2312" w:cs="仿宋_GB2312"/>
                <w:i w:val="0"/>
                <w:iCs w:val="0"/>
                <w:color w:val="auto"/>
                <w:spacing w:val="0"/>
                <w:kern w:val="0"/>
                <w:sz w:val="24"/>
                <w:szCs w:val="24"/>
                <w:highlight w:val="none"/>
                <w:u w:val="none"/>
                <w:lang w:val="en-US" w:eastAsia="zh-CN" w:bidi="ar"/>
              </w:rPr>
              <w:t>4</w:t>
            </w:r>
          </w:p>
        </w:tc>
        <w:tc>
          <w:tcPr>
            <w:tcW w:w="81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c>
          <w:tcPr>
            <w:tcW w:w="1279" w:type="dxa"/>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center"/>
              <w:rPr>
                <w:rFonts w:hint="eastAsia" w:ascii="仿宋_GB2312" w:hAnsi="仿宋_GB2312" w:eastAsia="仿宋_GB2312" w:cs="仿宋_GB2312"/>
                <w:i w:val="0"/>
                <w:iCs w:val="0"/>
                <w:color w:val="auto"/>
                <w:spacing w:val="0"/>
                <w:kern w:val="0"/>
                <w:sz w:val="24"/>
                <w:szCs w:val="24"/>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4" w:hRule="atLeast"/>
          <w:jc w:val="center"/>
        </w:trPr>
        <w:tc>
          <w:tcPr>
            <w:tcW w:w="11209" w:type="dxa"/>
            <w:gridSpan w:val="4"/>
            <w:tcBorders>
              <w:tl2br w:val="nil"/>
              <w:tr2bl w:val="nil"/>
            </w:tcBorders>
            <w:vAlign w:val="center"/>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center"/>
              <w:textAlignment w:val="center"/>
              <w:rPr>
                <w:rFonts w:hint="eastAsia" w:ascii="黑体" w:hAnsi="黑体" w:eastAsia="黑体" w:cs="黑体"/>
                <w:i w:val="0"/>
                <w:iCs w:val="0"/>
                <w:color w:val="auto"/>
                <w:spacing w:val="0"/>
                <w:sz w:val="24"/>
                <w:szCs w:val="24"/>
                <w:highlight w:val="none"/>
                <w:u w:val="none"/>
              </w:rPr>
            </w:pPr>
            <w:r>
              <w:rPr>
                <w:rFonts w:hint="eastAsia" w:ascii="黑体" w:hAnsi="黑体" w:eastAsia="黑体" w:cs="黑体"/>
                <w:i w:val="0"/>
                <w:iCs w:val="0"/>
                <w:color w:val="auto"/>
                <w:spacing w:val="0"/>
                <w:kern w:val="0"/>
                <w:sz w:val="24"/>
                <w:szCs w:val="24"/>
                <w:highlight w:val="none"/>
                <w:u w:val="none"/>
                <w:lang w:val="en-US" w:eastAsia="zh-CN" w:bidi="ar"/>
              </w:rPr>
              <w:t>总计</w:t>
            </w:r>
          </w:p>
        </w:tc>
        <w:tc>
          <w:tcPr>
            <w:tcW w:w="866" w:type="dxa"/>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center"/>
              <w:rPr>
                <w:rFonts w:hint="eastAsia" w:ascii="黑体" w:hAnsi="黑体" w:eastAsia="黑体" w:cs="黑体"/>
                <w:i w:val="0"/>
                <w:iCs w:val="0"/>
                <w:color w:val="auto"/>
                <w:spacing w:val="0"/>
                <w:sz w:val="24"/>
                <w:szCs w:val="24"/>
                <w:highlight w:val="none"/>
                <w:u w:val="none"/>
                <w:lang w:val="en-US" w:eastAsia="zh-CN"/>
              </w:rPr>
            </w:pPr>
            <w:r>
              <w:rPr>
                <w:rFonts w:hint="eastAsia" w:ascii="黑体" w:hAnsi="黑体" w:eastAsia="黑体" w:cs="黑体"/>
                <w:i w:val="0"/>
                <w:iCs w:val="0"/>
                <w:color w:val="auto"/>
                <w:spacing w:val="0"/>
                <w:sz w:val="24"/>
                <w:szCs w:val="24"/>
                <w:highlight w:val="none"/>
                <w:u w:val="none"/>
                <w:lang w:val="en-US" w:eastAsia="zh-CN"/>
              </w:rPr>
              <w:t>40</w:t>
            </w:r>
          </w:p>
        </w:tc>
        <w:tc>
          <w:tcPr>
            <w:tcW w:w="2098" w:type="dxa"/>
            <w:gridSpan w:val="2"/>
            <w:tcBorders>
              <w:tl2br w:val="nil"/>
              <w:tr2bl w:val="nil"/>
            </w:tcBorders>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jc w:val="both"/>
              <w:rPr>
                <w:rFonts w:hint="eastAsia" w:ascii="黑体" w:hAnsi="黑体" w:eastAsia="黑体" w:cs="黑体"/>
                <w:i w:val="0"/>
                <w:iCs w:val="0"/>
                <w:color w:val="auto"/>
                <w:spacing w:val="0"/>
                <w:sz w:val="24"/>
                <w:szCs w:val="24"/>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353" w:hRule="atLeast"/>
          <w:jc w:val="center"/>
        </w:trPr>
        <w:tc>
          <w:tcPr>
            <w:tcW w:w="14173" w:type="dxa"/>
            <w:gridSpan w:val="7"/>
            <w:tcBorders>
              <w:tl2br w:val="nil"/>
              <w:tr2bl w:val="nil"/>
            </w:tcBorders>
            <w:vAlign w:val="top"/>
          </w:tcPr>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top"/>
              <w:rPr>
                <w:rFonts w:hint="eastAsia" w:ascii="黑体" w:hAnsi="黑体" w:eastAsia="黑体" w:cs="黑体"/>
                <w:i w:val="0"/>
                <w:iCs w:val="0"/>
                <w:color w:val="auto"/>
                <w:spacing w:val="0"/>
                <w:kern w:val="0"/>
                <w:sz w:val="24"/>
                <w:szCs w:val="24"/>
                <w:highlight w:val="none"/>
                <w:u w:val="none"/>
                <w:lang w:val="en-US" w:eastAsia="zh-CN" w:bidi="ar"/>
              </w:rPr>
            </w:pPr>
            <w:r>
              <w:rPr>
                <w:rFonts w:hint="eastAsia" w:ascii="黑体" w:hAnsi="黑体" w:eastAsia="黑体" w:cs="黑体"/>
                <w:i w:val="0"/>
                <w:iCs w:val="0"/>
                <w:color w:val="auto"/>
                <w:spacing w:val="0"/>
                <w:kern w:val="0"/>
                <w:sz w:val="24"/>
                <w:szCs w:val="24"/>
                <w:highlight w:val="none"/>
                <w:u w:val="none"/>
                <w:lang w:val="en-US" w:eastAsia="zh-CN" w:bidi="ar"/>
              </w:rPr>
              <w:t>其他需要记录的问题：</w:t>
            </w:r>
          </w:p>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top"/>
              <w:rPr>
                <w:rFonts w:hint="eastAsia" w:ascii="黑体" w:hAnsi="黑体" w:eastAsia="黑体" w:cs="黑体"/>
                <w:i w:val="0"/>
                <w:iCs w:val="0"/>
                <w:color w:val="auto"/>
                <w:spacing w:val="0"/>
                <w:kern w:val="0"/>
                <w:sz w:val="24"/>
                <w:szCs w:val="24"/>
                <w:highlight w:val="none"/>
                <w:u w:val="none"/>
                <w:lang w:val="en-US" w:eastAsia="zh-CN" w:bidi="ar"/>
              </w:rPr>
            </w:pPr>
          </w:p>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top"/>
              <w:rPr>
                <w:rFonts w:hint="eastAsia" w:ascii="黑体" w:hAnsi="黑体" w:eastAsia="黑体" w:cs="黑体"/>
                <w:i w:val="0"/>
                <w:iCs w:val="0"/>
                <w:color w:val="auto"/>
                <w:spacing w:val="0"/>
                <w:kern w:val="0"/>
                <w:sz w:val="24"/>
                <w:szCs w:val="24"/>
                <w:highlight w:val="none"/>
                <w:u w:val="none"/>
                <w:lang w:val="en-US" w:eastAsia="zh-CN" w:bidi="ar"/>
              </w:rPr>
            </w:pPr>
          </w:p>
          <w:p>
            <w:pPr>
              <w:keepNext w:val="0"/>
              <w:keepLines w:val="0"/>
              <w:pageBreakBefore w:val="0"/>
              <w:widowControl w:val="0"/>
              <w:suppressLineNumbers w:val="0"/>
              <w:kinsoku/>
              <w:wordWrap/>
              <w:overflowPunct w:val="0"/>
              <w:topLinePunct w:val="0"/>
              <w:autoSpaceDE/>
              <w:autoSpaceDN/>
              <w:bidi w:val="0"/>
              <w:adjustRightInd w:val="0"/>
              <w:snapToGrid w:val="0"/>
              <w:spacing w:line="240" w:lineRule="auto"/>
              <w:jc w:val="both"/>
              <w:textAlignment w:val="top"/>
              <w:rPr>
                <w:rFonts w:hint="eastAsia" w:ascii="黑体" w:hAnsi="黑体" w:eastAsia="黑体" w:cs="黑体"/>
                <w:i w:val="0"/>
                <w:iCs w:val="0"/>
                <w:color w:val="auto"/>
                <w:spacing w:val="0"/>
                <w:kern w:val="0"/>
                <w:sz w:val="24"/>
                <w:szCs w:val="24"/>
                <w:highlight w:val="none"/>
                <w:u w:val="none"/>
                <w:lang w:val="en-US" w:eastAsia="zh-CN" w:bidi="ar"/>
              </w:rPr>
            </w:pPr>
          </w:p>
        </w:tc>
      </w:tr>
    </w:tbl>
    <w:p>
      <w:pPr>
        <w:keepNext w:val="0"/>
        <w:keepLines w:val="0"/>
        <w:pageBreakBefore w:val="0"/>
        <w:widowControl w:val="0"/>
        <w:kinsoku/>
        <w:wordWrap/>
        <w:overflowPunct w:val="0"/>
        <w:topLinePunct w:val="0"/>
        <w:autoSpaceDE/>
        <w:autoSpaceDN/>
        <w:bidi w:val="0"/>
        <w:adjustRightInd w:val="0"/>
        <w:snapToGrid w:val="0"/>
        <w:spacing w:line="400" w:lineRule="exact"/>
        <w:ind w:left="1072" w:leftChars="0" w:hanging="1072" w:hangingChars="400"/>
        <w:textAlignment w:val="center"/>
        <w:rPr>
          <w:rFonts w:hint="eastAsia" w:ascii="楷体_GB2312" w:hAnsi="楷体_GB2312" w:eastAsia="楷体_GB2312" w:cs="楷体_GB2312"/>
          <w:color w:val="000000"/>
          <w:spacing w:val="-6"/>
          <w:kern w:val="0"/>
          <w:sz w:val="28"/>
          <w:szCs w:val="28"/>
          <w:highlight w:val="none"/>
          <w:lang w:eastAsia="zh-CN"/>
        </w:rPr>
      </w:pPr>
      <w:r>
        <w:rPr>
          <w:rFonts w:hint="eastAsia" w:ascii="楷体_GB2312" w:hAnsi="楷体_GB2312" w:eastAsia="楷体_GB2312" w:cs="楷体_GB2312"/>
          <w:color w:val="000000"/>
          <w:spacing w:val="-6"/>
          <w:kern w:val="0"/>
          <w:sz w:val="28"/>
          <w:szCs w:val="28"/>
          <w:highlight w:val="none"/>
          <w:lang w:eastAsia="zh-CN"/>
        </w:rPr>
        <w:t>备注：</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textAlignment w:val="center"/>
        <w:rPr>
          <w:rFonts w:hint="eastAsia" w:ascii="楷体_GB2312" w:hAnsi="楷体_GB2312" w:eastAsia="楷体_GB2312" w:cs="楷体_GB2312"/>
          <w:i w:val="0"/>
          <w:iCs w:val="0"/>
          <w:color w:val="000000"/>
          <w:spacing w:val="-6"/>
          <w:kern w:val="0"/>
          <w:sz w:val="28"/>
          <w:szCs w:val="28"/>
          <w:highlight w:val="none"/>
          <w:u w:val="none"/>
          <w:lang w:val="en-US" w:eastAsia="zh-CN" w:bidi="ar"/>
        </w:rPr>
      </w:pPr>
      <w:r>
        <w:rPr>
          <w:rFonts w:hint="eastAsia" w:ascii="楷体_GB2312" w:hAnsi="楷体_GB2312" w:eastAsia="楷体_GB2312" w:cs="楷体_GB2312"/>
          <w:i w:val="0"/>
          <w:iCs w:val="0"/>
          <w:color w:val="000000"/>
          <w:spacing w:val="-6"/>
          <w:kern w:val="0"/>
          <w:sz w:val="28"/>
          <w:szCs w:val="28"/>
          <w:highlight w:val="none"/>
          <w:u w:val="none"/>
          <w:lang w:val="en-US" w:eastAsia="zh-CN" w:bidi="ar"/>
        </w:rPr>
        <w:t>1.从事对温度、湿度等有特殊要求的食品贮存业务的非食品生产经营者是指仅提供贮存业务，但没有从事食品生产、食品销售、餐饮服务等经营活动。</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textAlignment w:val="center"/>
        <w:rPr>
          <w:rFonts w:hint="eastAsia" w:ascii="楷体_GB2312" w:hAnsi="楷体_GB2312" w:eastAsia="楷体_GB2312" w:cs="楷体_GB2312"/>
          <w:i w:val="0"/>
          <w:iCs w:val="0"/>
          <w:color w:val="000000"/>
          <w:spacing w:val="-6"/>
          <w:kern w:val="0"/>
          <w:sz w:val="28"/>
          <w:szCs w:val="28"/>
          <w:highlight w:val="none"/>
          <w:u w:val="none"/>
          <w:lang w:val="en-US" w:eastAsia="zh-CN" w:bidi="ar"/>
        </w:rPr>
      </w:pPr>
      <w:r>
        <w:rPr>
          <w:rFonts w:hint="eastAsia" w:ascii="楷体_GB2312" w:hAnsi="楷体_GB2312" w:eastAsia="楷体_GB2312" w:cs="楷体_GB2312"/>
          <w:i w:val="0"/>
          <w:iCs w:val="0"/>
          <w:color w:val="000000"/>
          <w:spacing w:val="-6"/>
          <w:kern w:val="0"/>
          <w:sz w:val="28"/>
          <w:szCs w:val="28"/>
          <w:highlight w:val="none"/>
          <w:u w:val="none"/>
          <w:lang w:val="en-US" w:eastAsia="zh-CN" w:bidi="ar"/>
        </w:rPr>
        <w:t>2.</w:t>
      </w:r>
      <w:r>
        <w:rPr>
          <w:rFonts w:hint="eastAsia" w:ascii="楷体_GB2312" w:hAnsi="楷体_GB2312" w:eastAsia="楷体_GB2312" w:cs="楷体_GB2312"/>
          <w:spacing w:val="-6"/>
          <w:kern w:val="0"/>
          <w:sz w:val="28"/>
          <w:szCs w:val="28"/>
          <w:highlight w:val="none"/>
          <w:lang w:eastAsia="zh-CN"/>
        </w:rPr>
        <w:t>动态分值总和为</w:t>
      </w:r>
      <w:r>
        <w:rPr>
          <w:rFonts w:hint="eastAsia" w:ascii="楷体_GB2312" w:hAnsi="楷体_GB2312" w:eastAsia="楷体_GB2312" w:cs="楷体_GB2312"/>
          <w:spacing w:val="-6"/>
          <w:kern w:val="0"/>
          <w:sz w:val="28"/>
          <w:szCs w:val="28"/>
          <w:highlight w:val="none"/>
          <w:lang w:val="en-US" w:eastAsia="zh-CN"/>
        </w:rPr>
        <w:t>40</w:t>
      </w:r>
      <w:r>
        <w:rPr>
          <w:rFonts w:hint="eastAsia" w:ascii="楷体_GB2312" w:hAnsi="楷体_GB2312" w:eastAsia="楷体_GB2312" w:cs="楷体_GB2312"/>
          <w:spacing w:val="-6"/>
          <w:kern w:val="0"/>
          <w:sz w:val="28"/>
          <w:szCs w:val="28"/>
          <w:highlight w:val="none"/>
          <w:lang w:eastAsia="zh-CN"/>
        </w:rPr>
        <w:t>分，检查结果为</w:t>
      </w:r>
      <w:r>
        <w:rPr>
          <w:rFonts w:hint="eastAsia" w:ascii="楷体_GB2312" w:hAnsi="楷体_GB2312" w:eastAsia="楷体_GB2312" w:cs="楷体_GB2312"/>
          <w:i w:val="0"/>
          <w:iCs w:val="0"/>
          <w:color w:val="000000"/>
          <w:spacing w:val="-6"/>
          <w:kern w:val="0"/>
          <w:sz w:val="28"/>
          <w:szCs w:val="28"/>
          <w:highlight w:val="none"/>
          <w:u w:val="none"/>
          <w:lang w:val="en-US" w:eastAsia="zh-CN" w:bidi="ar"/>
        </w:rPr>
        <w:t>“是”或者“合理缺项”时，不得分；为“否”时，视情况得分。</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textAlignment w:val="center"/>
        <w:rPr>
          <w:rFonts w:hint="eastAsia" w:ascii="楷体_GB2312" w:hAnsi="楷体_GB2312" w:eastAsia="楷体_GB2312" w:cs="楷体_GB2312"/>
          <w:spacing w:val="-6"/>
          <w:kern w:val="0"/>
          <w:sz w:val="28"/>
          <w:szCs w:val="28"/>
          <w:highlight w:val="none"/>
          <w:lang w:val="en-US" w:eastAsia="zh-CN"/>
        </w:rPr>
      </w:pPr>
      <w:r>
        <w:rPr>
          <w:rFonts w:hint="eastAsia" w:ascii="楷体_GB2312" w:hAnsi="楷体_GB2312" w:eastAsia="楷体_GB2312" w:cs="楷体_GB2312"/>
          <w:i w:val="0"/>
          <w:iCs w:val="0"/>
          <w:color w:val="000000"/>
          <w:spacing w:val="-6"/>
          <w:kern w:val="0"/>
          <w:sz w:val="28"/>
          <w:szCs w:val="28"/>
          <w:highlight w:val="none"/>
          <w:u w:val="none"/>
          <w:lang w:val="en-US" w:eastAsia="zh-CN" w:bidi="ar"/>
        </w:rPr>
        <w:t>3.</w:t>
      </w:r>
      <w:r>
        <w:rPr>
          <w:rFonts w:hint="eastAsia" w:ascii="楷体_GB2312" w:hAnsi="楷体_GB2312" w:eastAsia="楷体_GB2312" w:cs="楷体_GB2312"/>
          <w:spacing w:val="-6"/>
          <w:kern w:val="0"/>
          <w:sz w:val="28"/>
          <w:szCs w:val="28"/>
          <w:highlight w:val="none"/>
          <w:lang w:val="en-US" w:eastAsia="zh-CN"/>
        </w:rPr>
        <w:t>检查内容包括但不仅限于所列项目，所列项目检查发现的问题，填写在“存在问题”栏，发现的其他问题填写在“其他需要记录的问题”栏。</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textAlignment w:val="center"/>
        <w:rPr>
          <w:rFonts w:hint="eastAsia" w:ascii="楷体_GB2312" w:hAnsi="楷体_GB2312" w:eastAsia="楷体_GB2312" w:cs="楷体_GB2312"/>
          <w:spacing w:val="-6"/>
          <w:kern w:val="0"/>
          <w:sz w:val="28"/>
          <w:szCs w:val="28"/>
          <w:highlight w:val="none"/>
          <w:lang w:eastAsia="zh-CN"/>
        </w:rPr>
      </w:pPr>
      <w:r>
        <w:rPr>
          <w:rFonts w:hint="eastAsia" w:ascii="楷体_GB2312" w:hAnsi="楷体_GB2312" w:eastAsia="楷体_GB2312" w:cs="楷体_GB2312"/>
          <w:spacing w:val="-6"/>
          <w:kern w:val="0"/>
          <w:sz w:val="28"/>
          <w:szCs w:val="28"/>
          <w:highlight w:val="none"/>
          <w:lang w:val="en-US" w:eastAsia="zh-CN"/>
        </w:rPr>
        <w:t>4.</w:t>
      </w:r>
      <w:r>
        <w:rPr>
          <w:rFonts w:hint="eastAsia" w:ascii="楷体_GB2312" w:hAnsi="楷体_GB2312" w:eastAsia="楷体_GB2312" w:cs="楷体_GB2312"/>
          <w:spacing w:val="-6"/>
          <w:kern w:val="0"/>
          <w:sz w:val="28"/>
          <w:szCs w:val="28"/>
          <w:highlight w:val="none"/>
          <w:lang w:eastAsia="zh-CN"/>
        </w:rPr>
        <w:t>表中打*号的为重点项，其他为一般项。</w:t>
      </w:r>
    </w:p>
    <w:p>
      <w:pPr>
        <w:keepNext w:val="0"/>
        <w:keepLines w:val="0"/>
        <w:pageBreakBefore w:val="0"/>
        <w:widowControl w:val="0"/>
        <w:kinsoku/>
        <w:wordWrap/>
        <w:overflowPunct w:val="0"/>
        <w:topLinePunct w:val="0"/>
        <w:autoSpaceDE/>
        <w:autoSpaceDN/>
        <w:bidi w:val="0"/>
        <w:adjustRightInd w:val="0"/>
        <w:snapToGrid w:val="0"/>
        <w:spacing w:line="400" w:lineRule="exact"/>
        <w:ind w:left="0" w:leftChars="0" w:firstLine="536" w:firstLineChars="200"/>
        <w:textAlignment w:val="center"/>
        <w:rPr>
          <w:rFonts w:hint="eastAsia" w:ascii="楷体_GB2312" w:hAnsi="楷体_GB2312" w:eastAsia="楷体_GB2312" w:cs="楷体_GB2312"/>
          <w:color w:val="000000" w:themeColor="text1"/>
          <w:spacing w:val="0"/>
          <w:sz w:val="28"/>
          <w:szCs w:val="28"/>
          <w:lang w:val="en-US" w:eastAsia="zh-CN"/>
          <w14:textFill>
            <w14:solidFill>
              <w14:schemeClr w14:val="tx1"/>
            </w14:solidFill>
          </w14:textFill>
        </w:rPr>
      </w:pPr>
      <w:r>
        <w:rPr>
          <w:rFonts w:hint="eastAsia" w:ascii="楷体_GB2312" w:hAnsi="楷体_GB2312" w:eastAsia="楷体_GB2312" w:cs="楷体_GB2312"/>
          <w:spacing w:val="-6"/>
          <w:kern w:val="0"/>
          <w:sz w:val="28"/>
          <w:szCs w:val="28"/>
          <w:highlight w:val="none"/>
          <w:lang w:val="en-US" w:eastAsia="zh-CN"/>
        </w:rPr>
        <w:t>5.如果检查项目存在合理缺项，该项不得分，不计入不符合项数。</w:t>
      </w:r>
    </w:p>
    <w:sectPr>
      <w:pgSz w:w="16838" w:h="11906" w:orient="landscape"/>
      <w:pgMar w:top="1134" w:right="1417" w:bottom="1134" w:left="1417" w:header="851" w:footer="567"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-228600</wp:posOffset>
              </wp:positionV>
              <wp:extent cx="114935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14935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rPr>
                              <w:rFonts w:hint="eastAsia" w:ascii="宋体" w:hAnsi="宋体" w:eastAsia="宋体" w:cs="宋体"/>
                              <w:sz w:val="28"/>
                              <w:szCs w:val="28"/>
                              <w:lang w:val="en-US" w:eastAsia="zh-CN"/>
                            </w:rPr>
                            <w:t xml:space="preserve">  </w:t>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8pt;height:144pt;width:90.5pt;mso-position-horizontal:outside;mso-position-horizontal-relative:margin;z-index:251659264;mso-width-relative:page;mso-height-relative:page;" filled="f" stroked="f" coordsize="21600,21600" o:gfxdata="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UPf8ONYAAAAIAQAADwAA&#10;AAAAAAABACAAAAAiAAAAZHJzL2Rvd25yZXYueG1sUEsBAhQAFAAAAAgAh07iQGceg6cYAgAAFQQA&#10;AA4AAAAAAAAAAQAgAAAAJQEAAGRycy9lMm9Eb2MueG1sUEsFBgAAAAAGAAYAWQEAAK8FAAAAAA==&#10;">
              <v:fill on="f" focussize="0,0"/>
              <v:stroke on="f" weight="0.5pt"/>
              <v:imagedata o:title=""/>
              <o:lock v:ext="edit" aspectratio="f"/>
              <v:textbox inset="0mm,0mm,0mm,0mm" style="mso-fit-shape-to-text:t;">
                <w:txbxContent>
                  <w:p>
                    <w:pPr>
                      <w:pStyle w:val="4"/>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rPr>
                        <w:rFonts w:hint="eastAsia" w:ascii="宋体" w:hAnsi="宋体" w:eastAsia="宋体" w:cs="宋体"/>
                        <w:sz w:val="28"/>
                        <w:szCs w:val="28"/>
                        <w:lang w:val="en-US"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33541D6"/>
    <w:multiLevelType w:val="singleLevel"/>
    <w:tmpl w:val="833541D6"/>
    <w:lvl w:ilvl="0" w:tentative="0">
      <w:start w:val="2"/>
      <w:numFmt w:val="chineseCounting"/>
      <w:suff w:val="nothing"/>
      <w:lvlText w:val="第%1章　"/>
      <w:lvlJc w:val="left"/>
      <w:rPr>
        <w:rFonts w:hint="eastAsia"/>
      </w:rPr>
    </w:lvl>
  </w:abstractNum>
  <w:abstractNum w:abstractNumId="1">
    <w:nsid w:val="530BB185"/>
    <w:multiLevelType w:val="singleLevel"/>
    <w:tmpl w:val="530BB185"/>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wMzEzYTNmMmY4YTFiOGYyYjNjOWQwOTg3YTQ0NzIifQ=="/>
  </w:docVars>
  <w:rsids>
    <w:rsidRoot w:val="112903EB"/>
    <w:rsid w:val="00490B57"/>
    <w:rsid w:val="004D6355"/>
    <w:rsid w:val="0517253E"/>
    <w:rsid w:val="06142C25"/>
    <w:rsid w:val="07E51AAD"/>
    <w:rsid w:val="0A013735"/>
    <w:rsid w:val="0EBB384D"/>
    <w:rsid w:val="112903EB"/>
    <w:rsid w:val="142B0848"/>
    <w:rsid w:val="18321CFC"/>
    <w:rsid w:val="195E512D"/>
    <w:rsid w:val="1A097028"/>
    <w:rsid w:val="1A374950"/>
    <w:rsid w:val="1AB86B4B"/>
    <w:rsid w:val="1AD44622"/>
    <w:rsid w:val="202C342A"/>
    <w:rsid w:val="215666D4"/>
    <w:rsid w:val="23CC2B6C"/>
    <w:rsid w:val="2B4D3342"/>
    <w:rsid w:val="32CC6BA6"/>
    <w:rsid w:val="33D650C2"/>
    <w:rsid w:val="3424633F"/>
    <w:rsid w:val="348D0439"/>
    <w:rsid w:val="37DA75C3"/>
    <w:rsid w:val="3CDC7545"/>
    <w:rsid w:val="3DBF784C"/>
    <w:rsid w:val="400F22A9"/>
    <w:rsid w:val="401B72F9"/>
    <w:rsid w:val="4427FD1D"/>
    <w:rsid w:val="44E629A0"/>
    <w:rsid w:val="47556ACA"/>
    <w:rsid w:val="47AB6010"/>
    <w:rsid w:val="48D11BE8"/>
    <w:rsid w:val="4D0D0348"/>
    <w:rsid w:val="4F633F03"/>
    <w:rsid w:val="4FBFC23F"/>
    <w:rsid w:val="53DF28D8"/>
    <w:rsid w:val="55FF8C95"/>
    <w:rsid w:val="57DE464B"/>
    <w:rsid w:val="59044790"/>
    <w:rsid w:val="684576E3"/>
    <w:rsid w:val="68835260"/>
    <w:rsid w:val="6B482C03"/>
    <w:rsid w:val="6BF17D8E"/>
    <w:rsid w:val="6CD956CD"/>
    <w:rsid w:val="6DED1F81"/>
    <w:rsid w:val="6FF55779"/>
    <w:rsid w:val="7789434A"/>
    <w:rsid w:val="77C31D01"/>
    <w:rsid w:val="78716106"/>
    <w:rsid w:val="79BA5BBE"/>
    <w:rsid w:val="7B205002"/>
    <w:rsid w:val="7B923CFA"/>
    <w:rsid w:val="7BAA24D6"/>
    <w:rsid w:val="7BEBC2DF"/>
    <w:rsid w:val="7DEFE1C0"/>
    <w:rsid w:val="AFEF92BD"/>
    <w:rsid w:val="B7EFDEB3"/>
    <w:rsid w:val="BC2A7440"/>
    <w:rsid w:val="CF5D9F44"/>
    <w:rsid w:val="DB5E519A"/>
    <w:rsid w:val="ED67FC83"/>
    <w:rsid w:val="F4D74366"/>
    <w:rsid w:val="F7FEF50E"/>
    <w:rsid w:val="FBFBA96B"/>
    <w:rsid w:val="FBFCB7F9"/>
    <w:rsid w:val="FF2B54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99"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Body Text"/>
    <w:next w:val="3"/>
    <w:qFormat/>
    <w:uiPriority w:val="0"/>
    <w:pPr>
      <w:widowControl w:val="0"/>
      <w:spacing w:before="0" w:after="140" w:line="276" w:lineRule="auto"/>
      <w:jc w:val="both"/>
    </w:pPr>
    <w:rPr>
      <w:rFonts w:ascii="Times New Roman" w:hAnsi="Times New Roman" w:eastAsia="仿宋_GB2312" w:cs="Times New Roman"/>
      <w:spacing w:val="-6"/>
      <w:kern w:val="2"/>
      <w:sz w:val="32"/>
      <w:lang w:val="en-US" w:eastAsia="zh-CN" w:bidi="ar-SA"/>
    </w:rPr>
  </w:style>
  <w:style w:type="paragraph" w:styleId="3">
    <w:name w:val="toc 2"/>
    <w:next w:val="1"/>
    <w:semiHidden/>
    <w:qFormat/>
    <w:uiPriority w:val="99"/>
    <w:pPr>
      <w:widowControl/>
      <w:spacing w:after="100" w:line="276" w:lineRule="auto"/>
      <w:ind w:left="220"/>
      <w:jc w:val="left"/>
    </w:pPr>
    <w:rPr>
      <w:rFonts w:ascii="Calibri" w:hAnsi="Calibri" w:eastAsia="宋体" w:cs="Times New Roman"/>
      <w:kern w:val="0"/>
      <w:sz w:val="22"/>
      <w:szCs w:val="24"/>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qFormat/>
    <w:uiPriority w:val="0"/>
  </w:style>
  <w:style w:type="character" w:styleId="8">
    <w:name w:val="Emphasis"/>
    <w:qFormat/>
    <w:uiPriority w:val="0"/>
    <w:rPr>
      <w:i/>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1">
    <w:name w:val="font31"/>
    <w:basedOn w:val="6"/>
    <w:qFormat/>
    <w:uiPriority w:val="0"/>
    <w:rPr>
      <w:rFonts w:hint="eastAsia" w:ascii="宋体" w:hAnsi="宋体" w:eastAsia="宋体" w:cs="宋体"/>
      <w:color w:val="000000"/>
      <w:sz w:val="17"/>
      <w:szCs w:val="17"/>
      <w:u w:val="none"/>
    </w:rPr>
  </w:style>
  <w:style w:type="character" w:customStyle="1" w:styleId="12">
    <w:name w:val="font61"/>
    <w:basedOn w:val="6"/>
    <w:qFormat/>
    <w:uiPriority w:val="0"/>
    <w:rPr>
      <w:rFonts w:hint="eastAsia" w:ascii="宋体" w:hAnsi="宋体" w:eastAsia="宋体" w:cs="宋体"/>
      <w:color w:val="000000"/>
      <w:sz w:val="17"/>
      <w:szCs w:val="17"/>
      <w:u w:val="single"/>
    </w:rPr>
  </w:style>
  <w:style w:type="paragraph" w:customStyle="1" w:styleId="13">
    <w:name w:val="正文 New New"/>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
    <w:name w:val="Other|1"/>
    <w:basedOn w:val="1"/>
    <w:qFormat/>
    <w:uiPriority w:val="0"/>
    <w:pPr>
      <w:spacing w:line="456" w:lineRule="auto"/>
      <w:ind w:firstLine="400"/>
    </w:pPr>
    <w:rPr>
      <w:rFonts w:ascii="宋体" w:hAnsi="宋体" w:eastAsia="宋体" w:cs="宋体"/>
      <w:color w:val="232323"/>
      <w:sz w:val="28"/>
      <w:szCs w:val="28"/>
      <w:lang w:val="zh-TW" w:eastAsia="zh-TW" w:bidi="zh-TW"/>
    </w:rPr>
  </w:style>
  <w:style w:type="paragraph" w:customStyle="1" w:styleId="15">
    <w:name w:val="Table caption|1"/>
    <w:basedOn w:val="1"/>
    <w:qFormat/>
    <w:uiPriority w:val="0"/>
    <w:pPr>
      <w:spacing w:line="307" w:lineRule="exact"/>
    </w:pPr>
    <w:rPr>
      <w:rFonts w:ascii="宋体" w:hAnsi="宋体" w:eastAsia="宋体" w:cs="宋体"/>
      <w:color w:val="232323"/>
      <w:sz w:val="22"/>
      <w:szCs w:val="22"/>
      <w:lang w:val="zh-TW" w:eastAsia="zh-TW" w:bidi="zh-TW"/>
    </w:rPr>
  </w:style>
  <w:style w:type="paragraph" w:customStyle="1" w:styleId="16">
    <w:name w:val="Table Text"/>
    <w:semiHidden/>
    <w:qFormat/>
    <w:uiPriority w:val="0"/>
    <w:pPr>
      <w:kinsoku w:val="0"/>
      <w:autoSpaceDE w:val="0"/>
      <w:autoSpaceDN w:val="0"/>
      <w:adjustRightInd w:val="0"/>
      <w:snapToGrid w:val="0"/>
      <w:textAlignment w:val="baseline"/>
    </w:pPr>
    <w:rPr>
      <w:rFonts w:ascii="仿宋" w:hAnsi="仿宋" w:eastAsia="仿宋" w:cs="仿宋"/>
      <w:snapToGrid w:val="0"/>
      <w:color w:val="000000"/>
      <w:sz w:val="19"/>
      <w:szCs w:val="19"/>
      <w:lang w:val="en-US" w:eastAsia="en-US" w:bidi="ar-SA"/>
    </w:rPr>
  </w:style>
  <w:style w:type="table" w:customStyle="1" w:styleId="17">
    <w:name w:val="Table Normal"/>
    <w:unhideWhenUsed/>
    <w:qFormat/>
    <w:uiPriority w:val="0"/>
    <w:tblPr>
      <w:tblLayout w:type="fixed"/>
      <w:tblCellMar>
        <w:top w:w="0" w:type="dxa"/>
        <w:left w:w="0" w:type="dxa"/>
        <w:bottom w:w="0" w:type="dxa"/>
        <w:right w:w="0" w:type="dxa"/>
      </w:tblCellMar>
    </w:tblPr>
  </w:style>
  <w:style w:type="character" w:customStyle="1" w:styleId="18">
    <w:name w:val="font21"/>
    <w:qFormat/>
    <w:uiPriority w:val="0"/>
    <w:rPr>
      <w:rFonts w:hint="eastAsia" w:ascii="仿宋" w:hAnsi="仿宋" w:eastAsia="仿宋" w:cs="仿宋"/>
      <w:color w:val="000000"/>
      <w:sz w:val="20"/>
      <w:szCs w:val="20"/>
      <w:u w:val="single"/>
    </w:rPr>
  </w:style>
  <w:style w:type="character" w:customStyle="1" w:styleId="19">
    <w:name w:val="样式 仿宋_GB2312"/>
    <w:qFormat/>
    <w:uiPriority w:val="0"/>
    <w:rPr>
      <w:rFonts w:ascii="仿宋_GB2312" w:hAnsi="仿宋_GB2312" w:eastAsia="仿宋_GB2312"/>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11387</Words>
  <Characters>12687</Characters>
  <Lines>0</Lines>
  <Paragraphs>0</Paragraphs>
  <TotalTime>5</TotalTime>
  <ScaleCrop>false</ScaleCrop>
  <LinksUpToDate>false</LinksUpToDate>
  <CharactersWithSpaces>12992</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2024-07-11T10:24:00Z</dcterms:created>
  <dc:creator>欧阳崇斌</dc:creator>
  <cp:lastModifiedBy>Administrator</cp:lastModifiedBy>
  <dcterms:modified xsi:type="dcterms:W3CDTF">2024-10-18T03:27:59Z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y fmtid="{D5CDD505-2E9C-101B-9397-08002B2CF9AE}" pid="3" name="ICV">
    <vt:lpwstr>F5DF8CA1DF614CBAB867421FBD408D0C_11</vt:lpwstr>
  </property>
</Properties>
</file>