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overflowPunct w:val="0"/>
        <w:spacing w:line="600" w:lineRule="exact"/>
        <w:jc w:val="center"/>
        <w:rPr>
          <w:rStyle w:val="13"/>
          <w:rFonts w:ascii="方正小标宋简体" w:hAnsi="方正小标宋简体" w:eastAsia="方正小标宋简体" w:cs="方正小标宋简体"/>
          <w:sz w:val="44"/>
          <w:szCs w:val="44"/>
        </w:rPr>
      </w:pPr>
    </w:p>
    <w:p>
      <w:pPr>
        <w:pStyle w:val="12"/>
        <w:overflowPunct w:val="0"/>
        <w:spacing w:line="600" w:lineRule="exact"/>
        <w:jc w:val="both"/>
        <w:rPr>
          <w:rStyle w:val="13"/>
          <w:rFonts w:hint="eastAsia" w:ascii="方正小标宋简体" w:hAnsi="方正小标宋简体" w:eastAsia="方正小标宋简体" w:cs="方正小标宋简体"/>
          <w:sz w:val="44"/>
          <w:szCs w:val="44"/>
        </w:rPr>
      </w:pPr>
      <w:r>
        <w:rPr>
          <w:rStyle w:val="13"/>
          <w:rFonts w:hint="eastAsia" w:ascii="方正小标宋简体" w:hAnsi="方正小标宋简体" w:eastAsia="方正小标宋简体" w:cs="方正小标宋简体"/>
          <w:sz w:val="44"/>
          <w:szCs w:val="44"/>
        </w:rPr>
        <w:t>福建省产品质量安全监管专家库管理办法</w:t>
      </w:r>
    </w:p>
    <w:p>
      <w:pPr>
        <w:pStyle w:val="12"/>
        <w:overflowPunct w:val="0"/>
        <w:spacing w:line="600" w:lineRule="exact"/>
        <w:jc w:val="center"/>
        <w:rPr>
          <w:rStyle w:val="13"/>
          <w:rFonts w:ascii="方正小标宋简体" w:hAnsi="方正小标宋简体" w:eastAsia="方正小标宋简体" w:cs="方正小标宋简体"/>
          <w:szCs w:val="32"/>
        </w:rPr>
      </w:pPr>
      <w:r>
        <w:rPr>
          <w:rStyle w:val="13"/>
          <w:rFonts w:hint="eastAsia" w:ascii="方正小标宋简体" w:hAnsi="方正小标宋简体" w:eastAsia="方正小标宋简体" w:cs="方正小标宋简体"/>
          <w:szCs w:val="32"/>
        </w:rPr>
        <w:t>（</w:t>
      </w:r>
      <w:r>
        <w:rPr>
          <w:rStyle w:val="13"/>
          <w:rFonts w:hint="eastAsia" w:ascii="方正小标宋简体" w:hAnsi="方正小标宋简体" w:eastAsia="方正小标宋简体" w:cs="方正小标宋简体"/>
          <w:szCs w:val="32"/>
          <w:lang w:eastAsia="zh-CN"/>
        </w:rPr>
        <w:t>试行</w:t>
      </w:r>
      <w:r>
        <w:rPr>
          <w:rStyle w:val="13"/>
          <w:rFonts w:hint="eastAsia" w:ascii="方正小标宋简体" w:hAnsi="方正小标宋简体" w:eastAsia="方正小标宋简体" w:cs="方正小标宋简体"/>
          <w:szCs w:val="32"/>
        </w:rPr>
        <w:t>）</w:t>
      </w:r>
      <w:bookmarkStart w:id="2" w:name="_GoBack"/>
      <w:bookmarkEnd w:id="2"/>
    </w:p>
    <w:p>
      <w:pPr>
        <w:pStyle w:val="3"/>
        <w:spacing w:before="15"/>
        <w:jc w:val="center"/>
        <w:rPr>
          <w:rFonts w:hint="eastAsia" w:ascii="仿宋_GB2312" w:hAnsi="仿宋_GB2312" w:eastAsia="仿宋_GB2312" w:cs="仿宋_GB2312"/>
          <w:b/>
          <w:sz w:val="32"/>
          <w:szCs w:val="32"/>
          <w:lang w:eastAsia="zh-CN"/>
        </w:rPr>
      </w:pPr>
    </w:p>
    <w:p>
      <w:pPr>
        <w:pStyle w:val="3"/>
        <w:spacing w:before="15" w:line="360" w:lineRule="auto"/>
        <w:jc w:val="center"/>
        <w:rPr>
          <w:rFonts w:ascii="黑体" w:hAnsi="黑体" w:eastAsia="黑体" w:cs="仿宋_GB2312"/>
          <w:b/>
          <w:sz w:val="32"/>
          <w:szCs w:val="32"/>
        </w:rPr>
      </w:pPr>
      <w:r>
        <w:rPr>
          <w:rFonts w:ascii="黑体" w:hAnsi="黑体" w:eastAsia="黑体" w:cs="仿宋_GB2312"/>
          <w:b/>
          <w:sz w:val="32"/>
          <w:szCs w:val="32"/>
        </w:rPr>
        <w:t>第一章</w:t>
      </w:r>
      <w:r>
        <w:rPr>
          <w:rFonts w:hint="eastAsia" w:ascii="黑体" w:hAnsi="黑体" w:eastAsia="黑体" w:cs="仿宋_GB2312"/>
          <w:b/>
          <w:sz w:val="32"/>
          <w:szCs w:val="32"/>
        </w:rPr>
        <w:t xml:space="preserve"> </w:t>
      </w:r>
      <w:r>
        <w:rPr>
          <w:rFonts w:ascii="黑体" w:hAnsi="黑体" w:eastAsia="黑体" w:cs="仿宋_GB2312"/>
          <w:b/>
          <w:sz w:val="32"/>
          <w:szCs w:val="32"/>
        </w:rPr>
        <w:t>总则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为加强福建省产品质量安全监管技术智力支撑保障，规范福建省产品质量安全监管专家征集使用管理，增强监管执法科学性、精准性、实效性，制定本办法。</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第二条</w:t>
      </w:r>
      <w:r>
        <w:rPr>
          <w:rFonts w:hint="eastAsia" w:ascii="仿宋_GB2312" w:hAnsi="仿宋_GB2312" w:eastAsia="仿宋_GB2312" w:cs="仿宋_GB2312"/>
          <w:sz w:val="32"/>
          <w:szCs w:val="32"/>
        </w:rPr>
        <w:t xml:space="preserve"> 本办法所称产品质量安全监管专家是指来源于市场监管等部门，检验检测、认证、标准、工许审查、计量等技术机构、高等院校、科研院所、社团协会等，具有较丰富的产品质量安全监管工作所需的监管执法、法律法规、舆情处置、产品质量专业技术理论知识、技能和实践工作经验，并入</w:t>
      </w:r>
      <w:r>
        <w:rPr>
          <w:rFonts w:hint="eastAsia" w:ascii="仿宋_GB2312" w:hAnsi="仿宋_GB2312" w:eastAsia="仿宋_GB2312" w:cs="仿宋_GB2312"/>
          <w:sz w:val="32"/>
          <w:szCs w:val="32"/>
          <w:lang w:eastAsia="zh-CN"/>
        </w:rPr>
        <w:t>选福建省产品质量安全监管</w:t>
      </w:r>
      <w:r>
        <w:rPr>
          <w:rFonts w:hint="eastAsia" w:ascii="仿宋_GB2312" w:hAnsi="仿宋_GB2312" w:eastAsia="仿宋_GB2312" w:cs="仿宋_GB2312"/>
          <w:sz w:val="32"/>
          <w:szCs w:val="32"/>
        </w:rPr>
        <w:t>专家库的人员。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产品质量安全监管专家主要服务于工业产品质量监督抽查、证后检查、风险监控、质量帮扶、承担监管执法技术服务机构检查等专业领域和综合监管、法务支撑、舆情处置等工作领域。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本办法所称的产品是指工业产品，不含食品、药品、特种设备等其他非市场监管局产品质量安全监管相关部门监管范围内的其他产品。</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 xml:space="preserve">第三条 </w:t>
      </w:r>
      <w:r>
        <w:rPr>
          <w:rFonts w:hint="eastAsia" w:ascii="仿宋_GB2312" w:hAnsi="仿宋_GB2312" w:eastAsia="仿宋_GB2312" w:cs="仿宋_GB2312"/>
          <w:sz w:val="32"/>
          <w:szCs w:val="32"/>
        </w:rPr>
        <w:t>专家库建设和管理遵循“广泛征集、结构合理、集中管理、规范使用”的原则，并实行动态管理。</w:t>
      </w:r>
    </w:p>
    <w:p>
      <w:pPr>
        <w:pStyle w:val="3"/>
        <w:spacing w:before="15" w:line="560" w:lineRule="exact"/>
        <w:jc w:val="center"/>
        <w:rPr>
          <w:rFonts w:ascii="黑体" w:hAnsi="黑体" w:eastAsia="黑体" w:cs="仿宋_GB2312"/>
          <w:b/>
          <w:sz w:val="32"/>
          <w:szCs w:val="32"/>
        </w:rPr>
      </w:pPr>
    </w:p>
    <w:p>
      <w:pPr>
        <w:pStyle w:val="3"/>
        <w:spacing w:before="15" w:line="560" w:lineRule="exact"/>
        <w:jc w:val="center"/>
        <w:rPr>
          <w:rFonts w:ascii="黑体" w:hAnsi="黑体" w:eastAsia="黑体" w:cs="仿宋_GB2312"/>
          <w:b/>
          <w:sz w:val="32"/>
          <w:szCs w:val="32"/>
        </w:rPr>
      </w:pPr>
      <w:r>
        <w:rPr>
          <w:rFonts w:ascii="黑体" w:hAnsi="黑体" w:eastAsia="黑体" w:cs="仿宋_GB2312"/>
          <w:b/>
          <w:sz w:val="32"/>
          <w:szCs w:val="32"/>
        </w:rPr>
        <w:t>第二章</w:t>
      </w:r>
      <w:r>
        <w:rPr>
          <w:rFonts w:hint="eastAsia" w:ascii="黑体" w:hAnsi="黑体" w:eastAsia="黑体" w:cs="仿宋_GB2312"/>
          <w:b/>
          <w:sz w:val="32"/>
          <w:szCs w:val="32"/>
        </w:rPr>
        <w:t xml:space="preserve"> 专家库建设</w:t>
      </w:r>
    </w:p>
    <w:p>
      <w:pPr>
        <w:spacing w:line="560" w:lineRule="exact"/>
        <w:ind w:firstLine="643" w:firstLineChars="200"/>
        <w:rPr>
          <w:rFonts w:ascii="仿宋_GB2312" w:hAnsi="仿宋_GB2312" w:eastAsia="仿宋_GB2312" w:cs="仿宋_GB2312"/>
          <w:color w:val="000000"/>
          <w:sz w:val="32"/>
          <w:szCs w:val="32"/>
        </w:rPr>
      </w:pPr>
      <w:r>
        <w:rPr>
          <w:rFonts w:hint="eastAsia" w:ascii="仿宋" w:hAnsi="仿宋" w:eastAsia="仿宋" w:cs="仿宋"/>
          <w:b/>
          <w:bCs/>
          <w:sz w:val="32"/>
          <w:szCs w:val="32"/>
        </w:rPr>
        <w:t xml:space="preserve">第四条 </w:t>
      </w:r>
      <w:r>
        <w:rPr>
          <w:rFonts w:hint="eastAsia" w:ascii="仿宋_GB2312" w:hAnsi="仿宋_GB2312" w:eastAsia="仿宋_GB2312" w:cs="仿宋_GB2312"/>
          <w:sz w:val="32"/>
          <w:szCs w:val="32"/>
        </w:rPr>
        <w:t>福建省市场监督管理局（以下简称省市场监管局）授权并指导福建省市场监督管理局人才开发中心（以下简称省局人才开发中心）承</w:t>
      </w:r>
      <w:r>
        <w:rPr>
          <w:rFonts w:hint="eastAsia" w:ascii="仿宋_GB2312" w:hAnsi="仿宋_GB2312" w:eastAsia="仿宋_GB2312" w:cs="仿宋_GB2312"/>
          <w:color w:val="000000"/>
          <w:sz w:val="32"/>
          <w:szCs w:val="32"/>
        </w:rPr>
        <w:t>担专家库建设、专家使用和日常管理，对专家履职情况进行评价。其中风险监控等工作所需的专家使用等相关事务，由福建产品质量安全风险监控“一张网”秘书处承担。</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 xml:space="preserve">第五条 </w:t>
      </w:r>
      <w:r>
        <w:rPr>
          <w:rFonts w:hint="eastAsia" w:ascii="仿宋_GB2312" w:hAnsi="仿宋_GB2312" w:eastAsia="仿宋_GB2312" w:cs="仿宋_GB2312"/>
          <w:sz w:val="32"/>
          <w:szCs w:val="32"/>
        </w:rPr>
        <w:t>入选专家库专家应当具备以下基本条件：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（一）政治立场坚定，具有较高政治素质和职业道德，遵纪守法、廉洁奉公，恪守学术道德、作风正派，没有被列入失信被执行人等各类“黑名单”情形的违法失信行为。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（二）熟悉质量安全监管相关法律法规，从事上述任一专业领域工作3年以上担任副处以上职务（级），或5年以上且具有副高级以上专业技术职称或担任正科以上职务（级）。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（三）原则上不超过6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周岁，对产品质量安全监管工作急需，且身体状况能够胜任工作的，以及被授予省级以上专家荣誉称号等特别优秀人员，可适当放宽年龄限制。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（四）能按要求正常参加相关会议、现场活动和相关工作。</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第六条</w:t>
      </w:r>
      <w:r>
        <w:rPr>
          <w:rFonts w:hint="eastAsia" w:ascii="仿宋_GB2312" w:hAnsi="仿宋_GB2312" w:eastAsia="仿宋_GB2312" w:cs="仿宋_GB2312"/>
          <w:sz w:val="32"/>
          <w:szCs w:val="32"/>
        </w:rPr>
        <w:t xml:space="preserve"> 除符合上述基本条件外，各专业领域专家还应具备相应工作或专业领域所需的业务知识和技能等要求：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（一）监督抽查：熟悉产品质量监督抽查相关法律法规、工作规范、抽查细则和产品标准，具有承担产品质量监督抽样检验任务的经历。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（二）证后检查：熟悉工业产品生产许可相关法律法规、产业政策、生产许可证实施通则和细则；在工业产品生产许可证发证审查、证后检查等工作中具有丰富经验和相应能力。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（三）风险监控：熟悉国内外工业产品安全管控的法规、标准体系、风险管理流程和评估方法，能主动关注和收集国内外消费品和重点工业品风险信息，具有开展风险评估专业知识和能力水平。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质量帮扶：熟悉了解抽查、监测等监管发现产品质量问题涉及法律法规、技术标准和规范，具备帮扶指导企业生产经营、品牌管理、质量内部质量管控和产品认证、质量管理体系认证等和帮助指导工许获证企业持续保持获证条件的专业知识和技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（五）法务支撑：熟悉产品质量安全监管领域相关法律法规和政策要求，具有民事纠纷调解、行政复议、行政诉讼等工作经历，能够对产品质量安全监管合规性提供法律咨询。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舆情处置：具有一定舆情处置和新闻宣传经验，能够熟悉舆论声场，监测舆情走势，分析舆情等级，提出处置建议，并运用新媒体、自媒体等平台载体发出正向声音，科学引导舆论，充分展示质量安全监管工作成效。</w:t>
      </w:r>
    </w:p>
    <w:p>
      <w:pPr>
        <w:pStyle w:val="3"/>
        <w:spacing w:before="15" w:line="560" w:lineRule="exact"/>
        <w:jc w:val="center"/>
        <w:rPr>
          <w:rFonts w:ascii="黑体" w:hAnsi="黑体" w:eastAsia="黑体" w:cs="仿宋_GB2312"/>
          <w:b/>
          <w:sz w:val="32"/>
          <w:szCs w:val="32"/>
        </w:rPr>
      </w:pPr>
    </w:p>
    <w:p>
      <w:pPr>
        <w:pStyle w:val="3"/>
        <w:spacing w:before="15" w:line="560" w:lineRule="exact"/>
        <w:jc w:val="center"/>
        <w:rPr>
          <w:rFonts w:ascii="黑体" w:hAnsi="黑体" w:eastAsia="黑体" w:cs="仿宋_GB2312"/>
          <w:b/>
          <w:sz w:val="32"/>
          <w:szCs w:val="32"/>
        </w:rPr>
      </w:pPr>
      <w:r>
        <w:rPr>
          <w:rFonts w:ascii="黑体" w:hAnsi="黑体" w:eastAsia="黑体" w:cs="仿宋_GB2312"/>
          <w:b/>
          <w:sz w:val="32"/>
          <w:szCs w:val="32"/>
        </w:rPr>
        <w:t>第三章</w:t>
      </w:r>
      <w:r>
        <w:rPr>
          <w:rFonts w:hint="eastAsia" w:ascii="黑体" w:hAnsi="黑体" w:eastAsia="黑体" w:cs="仿宋_GB2312"/>
          <w:b/>
          <w:sz w:val="32"/>
          <w:szCs w:val="32"/>
        </w:rPr>
        <w:t xml:space="preserve"> 专家任务和权利义务</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第七条</w:t>
      </w:r>
      <w:r>
        <w:rPr>
          <w:rFonts w:hint="eastAsia" w:ascii="仿宋_GB2312" w:hAnsi="仿宋_GB2312" w:eastAsia="仿宋_GB2312" w:cs="仿宋_GB2312"/>
          <w:sz w:val="32"/>
          <w:szCs w:val="32"/>
        </w:rPr>
        <w:t xml:space="preserve"> 专家库设置6个专家组，分别为综合服务组、监督抽查组、风险监控组、证后监管组、质量帮扶组、机构检查组。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入库专家经随机选派或工作需要指定，可参与下列工作：</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综合管理组。承担综合统筹规划管理、组织协调工作，参与政策法规咨询、政府采购、舆情应对、新闻宣传、信息化建设等方面的技术支撑工作。</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监督抽查组。参与抽查计划制定、抽查细则和方案评审、异议处理等方面的技术支撑工作。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（三）风险监控组。参与风险监测计划制定、方案和结果评审、风险监测基地建设、区域产品质量安全状况评估、风险分级管控和排查治理等方面的技术支撑工作。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（四）证后检查组。参与省局对工许获证企业的监督检查和</w:t>
      </w:r>
      <w:r>
        <w:rPr>
          <w:rFonts w:eastAsia="仿宋_GB2312"/>
          <w:sz w:val="32"/>
          <w:szCs w:val="32"/>
        </w:rPr>
        <w:t>市县局开展工许获证企业事中事后监管技术支撑；对重点工业产品专项整治等现场检查技术指导</w:t>
      </w:r>
      <w:r>
        <w:rPr>
          <w:rFonts w:hint="eastAsia" w:eastAsia="仿宋_GB2312"/>
          <w:sz w:val="32"/>
          <w:szCs w:val="32"/>
        </w:rPr>
        <w:t>等工作</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（五）质量帮扶组。参与对有需求的企业出具针对性操作性强的“质量建议书”，帮助企业解决产品质量安全问题和行业共性质量问题；协助组织召开质量分析研讨会。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（六）机构检查组。参与对承担监督抽查和风险监测技术服务机构的现场监督检查、报告研判和盲样复核检验比对等技术支撑工作。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个专家组各设组长1名，副组长1-2名，</w:t>
      </w:r>
      <w:r>
        <w:rPr>
          <w:rFonts w:hint="eastAsia" w:ascii="仿宋_GB2312" w:hAnsi="仿宋_GB2312" w:eastAsia="仿宋_GB2312" w:cs="仿宋_GB2312"/>
          <w:sz w:val="32"/>
          <w:szCs w:val="32"/>
          <w:lang w:eastAsia="zh-CN"/>
        </w:rPr>
        <w:t>专家组组长由省市场监管局委托下属人才开发中心进行聘请，</w:t>
      </w:r>
      <w:r>
        <w:rPr>
          <w:rFonts w:hint="eastAsia" w:ascii="仿宋_GB2312" w:hAnsi="仿宋_GB2312" w:eastAsia="仿宋_GB2312" w:cs="仿宋_GB2312"/>
          <w:sz w:val="32"/>
          <w:szCs w:val="32"/>
        </w:rPr>
        <w:t>负责协助省局人才开发中心实施组织管理。各专家组可根据实际工作需要，在内部细分设置专项工作小组，牵头组织开展专项工作。在实际工作开展中，可视情况采取推选或指定的办法选定小组组长。</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专家参与上述任务，原则上以公益性为主。对参与工作所需时间较长，承担数量大或重大、疑难复杂任务的，经批准后，可根据相关规定支付专家劳务费。</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第八条</w:t>
      </w:r>
      <w:r>
        <w:rPr>
          <w:rFonts w:hint="eastAsia" w:ascii="仿宋_GB2312" w:hAnsi="仿宋_GB2312" w:eastAsia="仿宋_GB2312" w:cs="仿宋_GB2312"/>
          <w:sz w:val="32"/>
          <w:szCs w:val="32"/>
        </w:rPr>
        <w:t xml:space="preserve"> 专家享有以下权利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（一）独立、公平、公正提出咨询、评审意见和建议，不受任何单位和个人干预；</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优先参加省市场监管局组织的产品质量安全有关培训或相关活动；</w:t>
      </w:r>
    </w:p>
    <w:p>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bCs/>
          <w:sz w:val="32"/>
          <w:szCs w:val="32"/>
        </w:rPr>
        <w:t>对专家库管理提出意见和建议；</w:t>
      </w:r>
    </w:p>
    <w:p>
      <w:pPr>
        <w:overflowPunct w:val="0"/>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自愿退出专家库的权利。</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第九条</w:t>
      </w:r>
      <w:r>
        <w:rPr>
          <w:rFonts w:hint="eastAsia" w:ascii="仿宋_GB2312" w:hAnsi="仿宋_GB2312" w:eastAsia="仿宋_GB2312" w:cs="仿宋_GB2312"/>
          <w:sz w:val="32"/>
          <w:szCs w:val="32"/>
        </w:rPr>
        <w:t xml:space="preserve"> 专家应当履行以下义务：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（一）履职期间接受省市场监管局和省局人才开发中心管理，服从相关工作安排；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（二）严格遵守职业操守，依法依规、公平公正、独立性开展工作，提出专业性咨询建议、评审意见或检查结论等；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（三）严守相关工作秘密，不得对外泄露相关工作信息和被检查单位的商业和技术秘密；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（四）严格落实廉洁自律等其他相关工作要求；</w:t>
      </w:r>
    </w:p>
    <w:p>
      <w:pPr>
        <w:pStyle w:val="2"/>
        <w:spacing w:line="560" w:lineRule="exact"/>
        <w:ind w:firstLine="640" w:firstLineChars="200"/>
      </w:pPr>
      <w:r>
        <w:rPr>
          <w:rFonts w:hint="eastAsia" w:ascii="仿宋_GB2312" w:hAnsi="仿宋_GB2312" w:eastAsia="仿宋_GB2312" w:cs="仿宋_GB2312"/>
          <w:sz w:val="32"/>
          <w:szCs w:val="32"/>
        </w:rPr>
        <w:t>（五）</w:t>
      </w:r>
      <w:r>
        <w:rPr>
          <w:rFonts w:hint="eastAsia" w:ascii="仿宋_GB2312" w:hAnsi="仿宋_GB2312" w:eastAsia="仿宋_GB2312" w:cs="仿宋_GB2312"/>
          <w:bCs/>
          <w:sz w:val="32"/>
          <w:szCs w:val="32"/>
        </w:rPr>
        <w:t>与检查或评审对象和评审项目存在利害关系，可能影响公正性的，应主动申请回避。</w:t>
      </w:r>
    </w:p>
    <w:p>
      <w:pPr>
        <w:pStyle w:val="3"/>
        <w:spacing w:before="15" w:line="560" w:lineRule="exact"/>
        <w:jc w:val="center"/>
        <w:rPr>
          <w:rFonts w:ascii="黑体" w:hAnsi="黑体" w:eastAsia="黑体" w:cs="仿宋_GB2312"/>
          <w:b/>
          <w:sz w:val="32"/>
          <w:szCs w:val="32"/>
        </w:rPr>
      </w:pPr>
    </w:p>
    <w:p>
      <w:pPr>
        <w:pStyle w:val="3"/>
        <w:spacing w:before="15" w:line="560" w:lineRule="exact"/>
        <w:jc w:val="center"/>
        <w:rPr>
          <w:rFonts w:ascii="黑体" w:hAnsi="黑体" w:eastAsia="黑体" w:cs="仿宋_GB2312"/>
          <w:b/>
          <w:sz w:val="32"/>
          <w:szCs w:val="32"/>
        </w:rPr>
      </w:pPr>
      <w:r>
        <w:rPr>
          <w:rFonts w:ascii="黑体" w:hAnsi="黑体" w:eastAsia="黑体" w:cs="仿宋_GB2312"/>
          <w:b/>
          <w:sz w:val="32"/>
          <w:szCs w:val="32"/>
        </w:rPr>
        <w:t>第四章</w:t>
      </w:r>
      <w:r>
        <w:rPr>
          <w:rFonts w:hint="eastAsia" w:ascii="黑体" w:hAnsi="黑体" w:eastAsia="黑体" w:cs="仿宋_GB2312"/>
          <w:b/>
          <w:sz w:val="32"/>
          <w:szCs w:val="32"/>
        </w:rPr>
        <w:t xml:space="preserve"> 专家库建设管理与使用</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第十条</w:t>
      </w:r>
      <w:r>
        <w:rPr>
          <w:rFonts w:hint="eastAsia" w:ascii="仿宋_GB2312" w:hAnsi="仿宋_GB2312" w:eastAsia="仿宋_GB2312" w:cs="仿宋_GB2312"/>
          <w:sz w:val="32"/>
          <w:szCs w:val="32"/>
        </w:rPr>
        <w:t xml:space="preserve"> 专家入库采取公开征集、定向邀请相结合的方式进行。</w:t>
      </w:r>
    </w:p>
    <w:p>
      <w:pPr>
        <w:overflowPunct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（一）公开征集</w:t>
      </w:r>
      <w:bookmarkStart w:id="0" w:name="_Hlk117011449"/>
    </w:p>
    <w:p>
      <w:pPr>
        <w:overflowPunct w:val="0"/>
        <w:spacing w:line="560" w:lineRule="exact"/>
        <w:ind w:firstLine="640" w:firstLineChars="200"/>
        <w:rPr>
          <w:rFonts w:eastAsia="仿宋_GB2312"/>
          <w:bCs/>
          <w:sz w:val="32"/>
          <w:szCs w:val="32"/>
        </w:rPr>
      </w:pPr>
      <w:r>
        <w:rPr>
          <w:rFonts w:eastAsia="仿宋_GB2312"/>
          <w:bCs/>
          <w:sz w:val="32"/>
          <w:szCs w:val="32"/>
        </w:rPr>
        <w:t>1</w:t>
      </w:r>
      <w:r>
        <w:rPr>
          <w:rFonts w:hint="eastAsia" w:ascii="仿宋_GB2312" w:hAnsi="仿宋_GB2312" w:eastAsia="仿宋_GB2312" w:cs="仿宋_GB2312"/>
          <w:bCs/>
          <w:sz w:val="32"/>
          <w:szCs w:val="32"/>
        </w:rPr>
        <w:t>.</w:t>
      </w:r>
      <w:r>
        <w:rPr>
          <w:rFonts w:eastAsia="仿宋_GB2312"/>
          <w:bCs/>
          <w:sz w:val="32"/>
          <w:szCs w:val="32"/>
        </w:rPr>
        <w:t>征集。</w:t>
      </w:r>
      <w:r>
        <w:rPr>
          <w:rFonts w:hint="eastAsia" w:eastAsia="仿宋_GB2312"/>
          <w:bCs/>
          <w:sz w:val="32"/>
          <w:szCs w:val="32"/>
        </w:rPr>
        <w:t>由</w:t>
      </w:r>
      <w:r>
        <w:rPr>
          <w:rFonts w:eastAsia="仿宋_GB2312"/>
          <w:bCs/>
          <w:sz w:val="32"/>
          <w:szCs w:val="32"/>
        </w:rPr>
        <w:t>省市场监管局向社会</w:t>
      </w:r>
      <w:bookmarkEnd w:id="0"/>
      <w:r>
        <w:rPr>
          <w:rFonts w:eastAsia="仿宋_GB2312"/>
          <w:bCs/>
          <w:sz w:val="32"/>
          <w:szCs w:val="32"/>
        </w:rPr>
        <w:t>公开征集专家。</w:t>
      </w:r>
    </w:p>
    <w:p>
      <w:pPr>
        <w:overflowPunct w:val="0"/>
        <w:spacing w:line="560" w:lineRule="exact"/>
        <w:ind w:firstLine="640" w:firstLineChars="200"/>
        <w:rPr>
          <w:rFonts w:eastAsia="仿宋_GB2312"/>
          <w:bCs/>
          <w:sz w:val="32"/>
          <w:szCs w:val="32"/>
        </w:rPr>
      </w:pPr>
      <w:r>
        <w:rPr>
          <w:rFonts w:eastAsia="仿宋_GB2312"/>
          <w:bCs/>
          <w:sz w:val="32"/>
          <w:szCs w:val="32"/>
        </w:rPr>
        <w:t>2</w:t>
      </w:r>
      <w:r>
        <w:rPr>
          <w:rFonts w:hint="eastAsia" w:ascii="仿宋_GB2312" w:hAnsi="仿宋_GB2312" w:eastAsia="仿宋_GB2312" w:cs="仿宋_GB2312"/>
          <w:bCs/>
          <w:sz w:val="32"/>
          <w:szCs w:val="32"/>
        </w:rPr>
        <w:t>.</w:t>
      </w:r>
      <w:r>
        <w:rPr>
          <w:rFonts w:eastAsia="仿宋_GB2312"/>
          <w:bCs/>
          <w:sz w:val="32"/>
          <w:szCs w:val="32"/>
        </w:rPr>
        <w:t>入库申请。专家自愿</w:t>
      </w:r>
      <w:r>
        <w:rPr>
          <w:rFonts w:hint="eastAsia" w:eastAsia="仿宋_GB2312"/>
          <w:bCs/>
          <w:sz w:val="32"/>
          <w:szCs w:val="32"/>
        </w:rPr>
        <w:t>申请，</w:t>
      </w:r>
      <w:r>
        <w:rPr>
          <w:rFonts w:eastAsia="仿宋_GB2312"/>
          <w:bCs/>
          <w:sz w:val="32"/>
          <w:szCs w:val="32"/>
        </w:rPr>
        <w:t>填写《</w:t>
      </w:r>
      <w:bookmarkStart w:id="1" w:name="_Hlk117011149"/>
      <w:r>
        <w:rPr>
          <w:rFonts w:eastAsia="仿宋_GB2312"/>
          <w:bCs/>
          <w:sz w:val="32"/>
          <w:szCs w:val="32"/>
        </w:rPr>
        <w:t>福建省</w:t>
      </w:r>
      <w:r>
        <w:rPr>
          <w:rFonts w:hint="eastAsia" w:eastAsia="仿宋_GB2312"/>
          <w:bCs/>
          <w:sz w:val="32"/>
          <w:szCs w:val="32"/>
        </w:rPr>
        <w:t>产品质量安全监管</w:t>
      </w:r>
      <w:r>
        <w:rPr>
          <w:rFonts w:eastAsia="仿宋_GB2312"/>
          <w:bCs/>
          <w:sz w:val="32"/>
          <w:szCs w:val="32"/>
        </w:rPr>
        <w:t>专家</w:t>
      </w:r>
      <w:bookmarkEnd w:id="1"/>
      <w:r>
        <w:rPr>
          <w:rFonts w:hint="eastAsia" w:eastAsia="仿宋_GB2312"/>
          <w:bCs/>
          <w:sz w:val="32"/>
          <w:szCs w:val="32"/>
        </w:rPr>
        <w:t>推荐</w:t>
      </w:r>
      <w:r>
        <w:rPr>
          <w:rFonts w:eastAsia="仿宋_GB2312"/>
          <w:bCs/>
          <w:sz w:val="32"/>
          <w:szCs w:val="32"/>
        </w:rPr>
        <w:t>表》，并附上相关证明材料。</w:t>
      </w:r>
    </w:p>
    <w:p>
      <w:pPr>
        <w:overflowPunct w:val="0"/>
        <w:spacing w:line="560" w:lineRule="exact"/>
        <w:ind w:firstLine="640" w:firstLineChars="200"/>
        <w:rPr>
          <w:rFonts w:ascii="仿宋_GB2312" w:hAnsi="仿宋_GB2312" w:eastAsia="仿宋_GB2312" w:cs="仿宋_GB2312"/>
          <w:bCs/>
          <w:sz w:val="32"/>
          <w:szCs w:val="32"/>
        </w:rPr>
      </w:pPr>
      <w:r>
        <w:rPr>
          <w:rFonts w:eastAsia="仿宋_GB2312"/>
          <w:bCs/>
          <w:sz w:val="32"/>
          <w:szCs w:val="32"/>
        </w:rPr>
        <w:t>3</w:t>
      </w:r>
      <w:r>
        <w:rPr>
          <w:rFonts w:hint="eastAsia" w:ascii="仿宋_GB2312" w:hAnsi="仿宋_GB2312" w:eastAsia="仿宋_GB2312" w:cs="仿宋_GB2312"/>
          <w:bCs/>
          <w:sz w:val="32"/>
          <w:szCs w:val="32"/>
        </w:rPr>
        <w:t>.</w:t>
      </w:r>
      <w:r>
        <w:rPr>
          <w:rFonts w:eastAsia="仿宋_GB2312"/>
          <w:bCs/>
          <w:sz w:val="32"/>
          <w:szCs w:val="32"/>
        </w:rPr>
        <w:t>资格</w:t>
      </w:r>
      <w:r>
        <w:rPr>
          <w:rFonts w:hint="eastAsia" w:eastAsia="仿宋_GB2312"/>
          <w:bCs/>
          <w:sz w:val="32"/>
          <w:szCs w:val="32"/>
        </w:rPr>
        <w:t>审核</w:t>
      </w:r>
      <w:r>
        <w:rPr>
          <w:rFonts w:eastAsia="仿宋_GB2312"/>
          <w:bCs/>
          <w:sz w:val="32"/>
          <w:szCs w:val="32"/>
        </w:rPr>
        <w:t>。</w:t>
      </w:r>
      <w:r>
        <w:rPr>
          <w:rFonts w:hint="eastAsia" w:ascii="仿宋_GB2312" w:hAnsi="仿宋_GB2312" w:eastAsia="仿宋_GB2312" w:cs="仿宋_GB2312"/>
          <w:bCs/>
          <w:sz w:val="32"/>
          <w:szCs w:val="32"/>
        </w:rPr>
        <w:t>省市场监管局委托省局人才开发中心负责根据本办法规定的条件和相关规定，对申请入库专家的相关资料进行初审，省市场监管局产品质量安全监管部门进行审核，提出入库候选专家和各组组长建议名单，按程序报经省市场监管局领导批准后入库。</w:t>
      </w:r>
    </w:p>
    <w:p>
      <w:pPr>
        <w:overflowPunct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（二）定向邀请</w:t>
      </w:r>
    </w:p>
    <w:p>
      <w:pPr>
        <w:overflowPunct w:val="0"/>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根据工作需要定向邀请专家入库，</w:t>
      </w:r>
      <w:r>
        <w:rPr>
          <w:rFonts w:hint="eastAsia" w:ascii="仿宋_GB2312" w:hAnsi="仿宋_GB2312" w:eastAsia="仿宋_GB2312" w:cs="仿宋_GB2312"/>
          <w:bCs/>
          <w:sz w:val="32"/>
          <w:szCs w:val="32"/>
        </w:rPr>
        <w:t>委托省局人才开发中心或省市场监管局产品质量安全监管部门，</w:t>
      </w:r>
      <w:r>
        <w:rPr>
          <w:rFonts w:ascii="仿宋_GB2312" w:hAnsi="仿宋_GB2312" w:eastAsia="仿宋_GB2312" w:cs="仿宋_GB2312"/>
          <w:bCs/>
          <w:sz w:val="32"/>
          <w:szCs w:val="32"/>
        </w:rPr>
        <w:t>根据本办法规定的条件</w:t>
      </w:r>
      <w:r>
        <w:rPr>
          <w:rFonts w:hint="eastAsia" w:ascii="仿宋_GB2312" w:hAnsi="仿宋_GB2312" w:eastAsia="仿宋_GB2312" w:cs="仿宋_GB2312"/>
          <w:bCs/>
          <w:sz w:val="32"/>
          <w:szCs w:val="32"/>
        </w:rPr>
        <w:t>和相关</w:t>
      </w:r>
      <w:r>
        <w:rPr>
          <w:rFonts w:ascii="仿宋_GB2312" w:hAnsi="仿宋_GB2312" w:eastAsia="仿宋_GB2312" w:cs="仿宋_GB2312"/>
          <w:bCs/>
          <w:sz w:val="32"/>
          <w:szCs w:val="32"/>
        </w:rPr>
        <w:t>规定</w:t>
      </w:r>
      <w:r>
        <w:rPr>
          <w:rFonts w:hint="eastAsia" w:ascii="仿宋_GB2312" w:hAnsi="仿宋_GB2312" w:eastAsia="仿宋_GB2312" w:cs="仿宋_GB2312"/>
          <w:bCs/>
          <w:sz w:val="32"/>
          <w:szCs w:val="32"/>
        </w:rPr>
        <w:t>，向特定专家发出邀请，由省市场监管局产品质量安全监管部门审核后，按程序报经省市场监管局领导批准后入库</w:t>
      </w:r>
      <w:r>
        <w:rPr>
          <w:rFonts w:ascii="仿宋_GB2312" w:hAnsi="仿宋_GB2312" w:eastAsia="仿宋_GB2312" w:cs="仿宋_GB2312"/>
          <w:bCs/>
          <w:sz w:val="32"/>
          <w:szCs w:val="32"/>
        </w:rPr>
        <w:t>。</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确定纳入专家库的专家，聘期为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年，发放《聘书》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并应签订《专家履职承诺书》。未签订《专家履职承诺书》的，不得入库；已入库的，应</w:t>
      </w:r>
      <w:r>
        <w:rPr>
          <w:rFonts w:hint="eastAsia" w:ascii="仿宋_GB2312" w:hAnsi="仿宋_GB2312" w:eastAsia="仿宋_GB2312" w:cs="仿宋_GB2312"/>
          <w:sz w:val="32"/>
          <w:szCs w:val="32"/>
          <w:lang w:eastAsia="zh-CN"/>
        </w:rPr>
        <w:t>不再聘请</w:t>
      </w:r>
      <w:r>
        <w:rPr>
          <w:rFonts w:hint="eastAsia" w:ascii="仿宋_GB2312" w:hAnsi="仿宋_GB2312" w:eastAsia="仿宋_GB2312" w:cs="仿宋_GB2312"/>
          <w:sz w:val="32"/>
          <w:szCs w:val="32"/>
        </w:rPr>
        <w:t>。</w:t>
      </w:r>
    </w:p>
    <w:p>
      <w:pPr>
        <w:pStyle w:val="2"/>
        <w:spacing w:after="0" w:line="560" w:lineRule="exact"/>
        <w:ind w:firstLine="643" w:firstLineChars="200"/>
        <w:rPr>
          <w:rFonts w:ascii="仿宋_GB2312" w:hAnsi="仿宋_GB2312" w:eastAsia="仿宋_GB2312" w:cs="仿宋_GB2312"/>
          <w:bCs/>
          <w:sz w:val="32"/>
          <w:szCs w:val="32"/>
        </w:rPr>
      </w:pPr>
      <w:r>
        <w:rPr>
          <w:rFonts w:hint="eastAsia" w:ascii="仿宋" w:hAnsi="仿宋" w:eastAsia="仿宋" w:cs="仿宋"/>
          <w:b/>
          <w:bCs/>
          <w:sz w:val="32"/>
          <w:szCs w:val="32"/>
        </w:rPr>
        <w:t xml:space="preserve">第十一条 </w:t>
      </w:r>
      <w:r>
        <w:rPr>
          <w:rFonts w:hint="eastAsia" w:ascii="仿宋_GB2312" w:hAnsi="仿宋_GB2312" w:eastAsia="仿宋_GB2312" w:cs="仿宋_GB2312"/>
          <w:bCs/>
          <w:sz w:val="32"/>
          <w:szCs w:val="32"/>
        </w:rPr>
        <w:t>有以下情形之一的专家予以出库：</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（一）无正当理由拒绝承接工作任务；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bCs/>
          <w:sz w:val="32"/>
          <w:szCs w:val="32"/>
        </w:rPr>
        <w:t>应主动申请回避而不申请回避的；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（三）主动申请退出或因工作变动、年龄或健康等原因不能正常履职；</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bCs/>
          <w:sz w:val="32"/>
          <w:szCs w:val="32"/>
        </w:rPr>
        <w:t>在参加活动过程中，存在徇私舞弊，接受或索取相关单位和个人馈赠、宴请或不正当利益的；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（五）违规泄密或泄漏工作内容和结果等重要信息的；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（六）其他不适宜再担任专家的情形。</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第十二条</w:t>
      </w:r>
      <w:r>
        <w:rPr>
          <w:rFonts w:hint="eastAsia" w:ascii="仿宋_GB2312" w:hAnsi="仿宋_GB2312" w:eastAsia="仿宋_GB2312" w:cs="仿宋_GB2312"/>
          <w:sz w:val="32"/>
          <w:szCs w:val="32"/>
        </w:rPr>
        <w:t xml:space="preserve"> 入库专家使用，原则上采取随机抽取产生的方式选派，紧急情况或不具备随机选派条件等工作需要的除外。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组使用入库专家，原则从库内相应专家中随机抽取选派专家。如因工作需要，确需指定专家或从专家库外临时邀请专家参与工作的，应当书面说明原因报省局人才开发中心备案，并报请省市场监管局领导批准或其授权相应内设业务部门同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对经随机抽取产生后，发现专家具有应予回避或其他情形，而不适宜继续承担当次任务的，应予以取消，并报经省市场监管局领导批准或其授权内设业务部门同意，可重新按程序随机抽取选派专家。</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第十三条</w:t>
      </w:r>
      <w:r>
        <w:rPr>
          <w:rFonts w:hint="eastAsia" w:ascii="仿宋_GB2312" w:hAnsi="仿宋_GB2312" w:eastAsia="仿宋_GB2312" w:cs="仿宋_GB2312"/>
          <w:sz w:val="32"/>
          <w:szCs w:val="32"/>
        </w:rPr>
        <w:t xml:space="preserve"> 省局人才开发中心负责组织各组专家使用情况评价。使用专家的相关单位应当如实提供相关使用情况，评价工作于每年 12 月集中开展，省局人才开发中心组织填写《专家履职情况评价表》，逐一对专家履职情况进行评价。专家履职情况，可作为对专家进行动态管理的重要参考。</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第十四条</w:t>
      </w:r>
      <w:r>
        <w:rPr>
          <w:rFonts w:hint="eastAsia" w:ascii="仿宋_GB2312" w:hAnsi="仿宋_GB2312" w:eastAsia="仿宋_GB2312" w:cs="仿宋_GB2312"/>
          <w:sz w:val="32"/>
          <w:szCs w:val="32"/>
        </w:rPr>
        <w:t xml:space="preserve"> 产品质量安全监管专家库可向全省市场监管系统涉及产品质量安全监管事项业务条线开放，实现专家资源共享，为产品安全质量监管相关工作提供便利，促进提升产品质量安全监管专业化水平。</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第十六条</w:t>
      </w:r>
      <w:r>
        <w:rPr>
          <w:rFonts w:hint="eastAsia" w:ascii="仿宋_GB2312" w:hAnsi="仿宋_GB2312" w:eastAsia="仿宋_GB2312" w:cs="仿宋_GB2312"/>
          <w:sz w:val="32"/>
          <w:szCs w:val="32"/>
        </w:rPr>
        <w:t xml:space="preserve"> 本办法由省市场监管局负责解释，自印发之日起试行。</w:t>
      </w:r>
    </w:p>
    <w:p>
      <w:pPr>
        <w:spacing w:before="100" w:line="230" w:lineRule="auto"/>
        <w:ind w:left="13"/>
        <w:rPr>
          <w:rFonts w:ascii="黑体" w:hAnsi="黑体" w:eastAsia="黑体" w:cs="黑体"/>
          <w:spacing w:val="-5"/>
          <w:sz w:val="31"/>
          <w:szCs w:val="31"/>
        </w:rPr>
      </w:pPr>
      <w:r>
        <w:rPr>
          <w:rFonts w:ascii="黑体" w:hAnsi="黑体" w:eastAsia="黑体" w:cs="黑体"/>
          <w:spacing w:val="-5"/>
          <w:sz w:val="31"/>
          <w:szCs w:val="31"/>
        </w:rPr>
        <w:br w:type="page"/>
      </w:r>
      <w:r>
        <w:rPr>
          <w:rFonts w:ascii="黑体" w:hAnsi="黑体" w:eastAsia="黑体" w:cs="黑体"/>
          <w:spacing w:val="-5"/>
          <w:sz w:val="31"/>
          <w:szCs w:val="31"/>
        </w:rPr>
        <w:t>附件</w:t>
      </w:r>
      <w:r>
        <w:rPr>
          <w:rFonts w:ascii="黑体" w:hAnsi="黑体" w:eastAsia="黑体" w:cs="黑体"/>
          <w:spacing w:val="-73"/>
          <w:sz w:val="31"/>
          <w:szCs w:val="31"/>
        </w:rPr>
        <w:t xml:space="preserve"> </w:t>
      </w:r>
      <w:r>
        <w:rPr>
          <w:rFonts w:hint="eastAsia" w:ascii="黑体" w:hAnsi="黑体" w:eastAsia="黑体" w:cs="黑体"/>
          <w:spacing w:val="-5"/>
          <w:sz w:val="31"/>
          <w:szCs w:val="31"/>
        </w:rPr>
        <w:t>1</w:t>
      </w:r>
    </w:p>
    <w:p>
      <w:pPr>
        <w:spacing w:line="560" w:lineRule="exact"/>
        <w:jc w:val="center"/>
        <w:rPr>
          <w:rFonts w:eastAsia="方正小标宋简体"/>
          <w:sz w:val="44"/>
          <w:szCs w:val="44"/>
        </w:rPr>
      </w:pPr>
      <w:r>
        <w:rPr>
          <w:rFonts w:hint="eastAsia" w:eastAsia="方正小标宋简体" w:cs="方正小标宋简体"/>
          <w:sz w:val="44"/>
          <w:szCs w:val="44"/>
        </w:rPr>
        <w:t>福建省产品质量安全监管专家推荐</w:t>
      </w:r>
      <w:r>
        <w:rPr>
          <w:rFonts w:eastAsia="方正小标宋简体"/>
          <w:sz w:val="44"/>
          <w:szCs w:val="44"/>
        </w:rPr>
        <w:t>表</w:t>
      </w:r>
    </w:p>
    <w:tbl>
      <w:tblPr>
        <w:tblStyle w:val="10"/>
        <w:tblW w:w="92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1904"/>
        <w:gridCol w:w="1796"/>
        <w:gridCol w:w="1900"/>
        <w:gridCol w:w="167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520" w:hRule="atLeast"/>
          <w:jc w:val="center"/>
        </w:trPr>
        <w:tc>
          <w:tcPr>
            <w:tcW w:w="1904" w:type="dxa"/>
            <w:tcBorders>
              <w:tl2br w:val="nil"/>
              <w:tr2bl w:val="nil"/>
            </w:tcBorders>
            <w:vAlign w:val="center"/>
          </w:tcPr>
          <w:p>
            <w:pPr>
              <w:jc w:val="center"/>
              <w:rPr>
                <w:rFonts w:eastAsia="仿宋_GB2312"/>
                <w:sz w:val="28"/>
                <w:szCs w:val="28"/>
              </w:rPr>
            </w:pPr>
            <w:r>
              <w:rPr>
                <w:rFonts w:eastAsia="仿宋_GB2312"/>
                <w:sz w:val="28"/>
                <w:szCs w:val="28"/>
              </w:rPr>
              <w:t>姓    名</w:t>
            </w:r>
          </w:p>
        </w:tc>
        <w:tc>
          <w:tcPr>
            <w:tcW w:w="1796" w:type="dxa"/>
            <w:tcBorders>
              <w:tl2br w:val="nil"/>
              <w:tr2bl w:val="nil"/>
            </w:tcBorders>
            <w:vAlign w:val="center"/>
          </w:tcPr>
          <w:p>
            <w:pPr>
              <w:jc w:val="center"/>
              <w:rPr>
                <w:rFonts w:eastAsia="仿宋_GB2312"/>
                <w:sz w:val="28"/>
                <w:szCs w:val="28"/>
              </w:rPr>
            </w:pPr>
          </w:p>
        </w:tc>
        <w:tc>
          <w:tcPr>
            <w:tcW w:w="1900" w:type="dxa"/>
            <w:tcBorders>
              <w:tl2br w:val="nil"/>
              <w:tr2bl w:val="nil"/>
            </w:tcBorders>
            <w:vAlign w:val="center"/>
          </w:tcPr>
          <w:p>
            <w:pPr>
              <w:jc w:val="center"/>
              <w:rPr>
                <w:rFonts w:eastAsia="仿宋_GB2312"/>
                <w:sz w:val="28"/>
                <w:szCs w:val="28"/>
              </w:rPr>
            </w:pPr>
            <w:r>
              <w:rPr>
                <w:rFonts w:eastAsia="仿宋_GB2312"/>
                <w:sz w:val="28"/>
                <w:szCs w:val="28"/>
              </w:rPr>
              <w:t>性    别</w:t>
            </w:r>
          </w:p>
        </w:tc>
        <w:tc>
          <w:tcPr>
            <w:tcW w:w="1671" w:type="dxa"/>
            <w:tcBorders>
              <w:tl2br w:val="nil"/>
              <w:tr2bl w:val="nil"/>
            </w:tcBorders>
            <w:vAlign w:val="center"/>
          </w:tcPr>
          <w:p>
            <w:pPr>
              <w:spacing w:line="600" w:lineRule="exact"/>
              <w:jc w:val="center"/>
              <w:rPr>
                <w:rFonts w:eastAsia="仿宋_GB2312"/>
                <w:sz w:val="28"/>
                <w:szCs w:val="28"/>
              </w:rPr>
            </w:pPr>
          </w:p>
        </w:tc>
        <w:tc>
          <w:tcPr>
            <w:tcW w:w="1973" w:type="dxa"/>
            <w:vMerge w:val="restart"/>
            <w:tcBorders>
              <w:tl2br w:val="nil"/>
              <w:tr2bl w:val="nil"/>
            </w:tcBorders>
            <w:vAlign w:val="center"/>
          </w:tcPr>
          <w:p>
            <w:pPr>
              <w:ind w:firstLine="560" w:firstLineChars="200"/>
              <w:rPr>
                <w:rFonts w:eastAsia="仿宋_GB2312"/>
                <w:sz w:val="28"/>
                <w:szCs w:val="28"/>
              </w:rPr>
            </w:pPr>
            <w:r>
              <w:rPr>
                <w:rFonts w:hint="eastAsia" w:eastAsia="仿宋_GB2312"/>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635" w:hRule="atLeast"/>
          <w:jc w:val="center"/>
        </w:trPr>
        <w:tc>
          <w:tcPr>
            <w:tcW w:w="1904" w:type="dxa"/>
            <w:tcBorders>
              <w:tl2br w:val="nil"/>
              <w:tr2bl w:val="nil"/>
            </w:tcBorders>
            <w:vAlign w:val="center"/>
          </w:tcPr>
          <w:p>
            <w:pPr>
              <w:jc w:val="center"/>
              <w:rPr>
                <w:rFonts w:eastAsia="仿宋_GB2312"/>
                <w:sz w:val="28"/>
                <w:szCs w:val="28"/>
              </w:rPr>
            </w:pPr>
            <w:r>
              <w:rPr>
                <w:rFonts w:eastAsia="仿宋_GB2312"/>
                <w:sz w:val="28"/>
                <w:szCs w:val="28"/>
              </w:rPr>
              <w:t>政治面貌</w:t>
            </w:r>
          </w:p>
        </w:tc>
        <w:tc>
          <w:tcPr>
            <w:tcW w:w="1796" w:type="dxa"/>
            <w:tcBorders>
              <w:tl2br w:val="nil"/>
              <w:tr2bl w:val="nil"/>
            </w:tcBorders>
            <w:vAlign w:val="center"/>
          </w:tcPr>
          <w:p>
            <w:pPr>
              <w:jc w:val="center"/>
              <w:rPr>
                <w:rFonts w:eastAsia="仿宋_GB2312"/>
                <w:sz w:val="28"/>
                <w:szCs w:val="28"/>
              </w:rPr>
            </w:pPr>
          </w:p>
        </w:tc>
        <w:tc>
          <w:tcPr>
            <w:tcW w:w="1900" w:type="dxa"/>
            <w:tcBorders>
              <w:tl2br w:val="nil"/>
              <w:tr2bl w:val="nil"/>
            </w:tcBorders>
            <w:vAlign w:val="center"/>
          </w:tcPr>
          <w:p>
            <w:pPr>
              <w:jc w:val="center"/>
              <w:rPr>
                <w:rFonts w:eastAsia="仿宋_GB2312"/>
                <w:sz w:val="28"/>
                <w:szCs w:val="28"/>
              </w:rPr>
            </w:pPr>
            <w:r>
              <w:rPr>
                <w:rFonts w:eastAsia="仿宋_GB2312"/>
                <w:sz w:val="28"/>
                <w:szCs w:val="28"/>
              </w:rPr>
              <w:t>出生日期</w:t>
            </w:r>
          </w:p>
        </w:tc>
        <w:tc>
          <w:tcPr>
            <w:tcW w:w="1671" w:type="dxa"/>
            <w:tcBorders>
              <w:tl2br w:val="nil"/>
              <w:tr2bl w:val="nil"/>
            </w:tcBorders>
            <w:vAlign w:val="center"/>
          </w:tcPr>
          <w:p>
            <w:pPr>
              <w:spacing w:line="600" w:lineRule="exact"/>
              <w:jc w:val="center"/>
              <w:rPr>
                <w:rFonts w:eastAsia="仿宋_GB2312"/>
                <w:sz w:val="28"/>
                <w:szCs w:val="28"/>
              </w:rPr>
            </w:pPr>
          </w:p>
        </w:tc>
        <w:tc>
          <w:tcPr>
            <w:tcW w:w="1973" w:type="dxa"/>
            <w:vMerge w:val="continue"/>
            <w:tcBorders>
              <w:tl2br w:val="nil"/>
              <w:tr2bl w:val="nil"/>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557" w:hRule="atLeast"/>
          <w:jc w:val="center"/>
        </w:trPr>
        <w:tc>
          <w:tcPr>
            <w:tcW w:w="1904" w:type="dxa"/>
            <w:tcBorders>
              <w:tl2br w:val="nil"/>
              <w:tr2bl w:val="nil"/>
            </w:tcBorders>
            <w:vAlign w:val="center"/>
          </w:tcPr>
          <w:p>
            <w:pPr>
              <w:jc w:val="center"/>
              <w:rPr>
                <w:rFonts w:eastAsia="仿宋_GB2312"/>
                <w:sz w:val="28"/>
                <w:szCs w:val="28"/>
              </w:rPr>
            </w:pPr>
            <w:r>
              <w:rPr>
                <w:rFonts w:eastAsia="仿宋_GB2312"/>
                <w:sz w:val="28"/>
                <w:szCs w:val="28"/>
              </w:rPr>
              <w:t>学    历</w:t>
            </w:r>
          </w:p>
        </w:tc>
        <w:tc>
          <w:tcPr>
            <w:tcW w:w="1796" w:type="dxa"/>
            <w:tcBorders>
              <w:tl2br w:val="nil"/>
              <w:tr2bl w:val="nil"/>
            </w:tcBorders>
            <w:vAlign w:val="center"/>
          </w:tcPr>
          <w:p>
            <w:pPr>
              <w:jc w:val="center"/>
              <w:rPr>
                <w:rFonts w:eastAsia="仿宋_GB2312"/>
                <w:sz w:val="28"/>
                <w:szCs w:val="28"/>
              </w:rPr>
            </w:pPr>
          </w:p>
        </w:tc>
        <w:tc>
          <w:tcPr>
            <w:tcW w:w="1900" w:type="dxa"/>
            <w:tcBorders>
              <w:tl2br w:val="nil"/>
              <w:tr2bl w:val="nil"/>
            </w:tcBorders>
            <w:vAlign w:val="center"/>
          </w:tcPr>
          <w:p>
            <w:pPr>
              <w:jc w:val="center"/>
              <w:rPr>
                <w:rFonts w:eastAsia="仿宋_GB2312"/>
                <w:sz w:val="28"/>
                <w:szCs w:val="28"/>
              </w:rPr>
            </w:pPr>
            <w:r>
              <w:rPr>
                <w:rFonts w:eastAsia="仿宋_GB2312"/>
                <w:sz w:val="28"/>
                <w:szCs w:val="28"/>
              </w:rPr>
              <w:t>联系方式</w:t>
            </w:r>
          </w:p>
        </w:tc>
        <w:tc>
          <w:tcPr>
            <w:tcW w:w="1671" w:type="dxa"/>
            <w:tcBorders>
              <w:tl2br w:val="nil"/>
              <w:tr2bl w:val="nil"/>
            </w:tcBorders>
            <w:vAlign w:val="center"/>
          </w:tcPr>
          <w:p>
            <w:pPr>
              <w:spacing w:line="600" w:lineRule="exact"/>
              <w:jc w:val="center"/>
              <w:rPr>
                <w:rFonts w:eastAsia="仿宋_GB2312"/>
                <w:sz w:val="28"/>
                <w:szCs w:val="28"/>
              </w:rPr>
            </w:pPr>
          </w:p>
        </w:tc>
        <w:tc>
          <w:tcPr>
            <w:tcW w:w="1973" w:type="dxa"/>
            <w:vMerge w:val="continue"/>
            <w:tcBorders>
              <w:tl2br w:val="nil"/>
              <w:tr2bl w:val="nil"/>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90" w:hRule="atLeast"/>
          <w:jc w:val="center"/>
        </w:trPr>
        <w:tc>
          <w:tcPr>
            <w:tcW w:w="1904" w:type="dxa"/>
            <w:tcBorders>
              <w:tl2br w:val="nil"/>
              <w:tr2bl w:val="nil"/>
            </w:tcBorders>
            <w:vAlign w:val="center"/>
          </w:tcPr>
          <w:p>
            <w:pPr>
              <w:jc w:val="center"/>
              <w:rPr>
                <w:rFonts w:eastAsia="仿宋_GB2312"/>
                <w:sz w:val="28"/>
                <w:szCs w:val="28"/>
              </w:rPr>
            </w:pPr>
            <w:r>
              <w:rPr>
                <w:rFonts w:eastAsia="仿宋_GB2312"/>
                <w:sz w:val="28"/>
                <w:szCs w:val="28"/>
              </w:rPr>
              <w:t>工作单位</w:t>
            </w:r>
          </w:p>
        </w:tc>
        <w:tc>
          <w:tcPr>
            <w:tcW w:w="1796" w:type="dxa"/>
            <w:tcBorders>
              <w:tl2br w:val="nil"/>
              <w:tr2bl w:val="nil"/>
            </w:tcBorders>
            <w:vAlign w:val="center"/>
          </w:tcPr>
          <w:p>
            <w:pPr>
              <w:jc w:val="center"/>
              <w:rPr>
                <w:rFonts w:eastAsia="仿宋_GB2312"/>
                <w:sz w:val="28"/>
                <w:szCs w:val="28"/>
              </w:rPr>
            </w:pPr>
          </w:p>
        </w:tc>
        <w:tc>
          <w:tcPr>
            <w:tcW w:w="1900" w:type="dxa"/>
            <w:tcBorders>
              <w:tl2br w:val="nil"/>
              <w:tr2bl w:val="nil"/>
            </w:tcBorders>
            <w:vAlign w:val="center"/>
          </w:tcPr>
          <w:p>
            <w:pPr>
              <w:jc w:val="center"/>
              <w:rPr>
                <w:rFonts w:eastAsia="仿宋_GB2312"/>
                <w:sz w:val="28"/>
                <w:szCs w:val="28"/>
              </w:rPr>
            </w:pPr>
            <w:r>
              <w:rPr>
                <w:rFonts w:eastAsia="仿宋_GB2312"/>
                <w:sz w:val="28"/>
                <w:szCs w:val="28"/>
              </w:rPr>
              <w:t>职    称</w:t>
            </w:r>
          </w:p>
        </w:tc>
        <w:tc>
          <w:tcPr>
            <w:tcW w:w="1671" w:type="dxa"/>
            <w:tcBorders>
              <w:tl2br w:val="nil"/>
              <w:tr2bl w:val="nil"/>
            </w:tcBorders>
            <w:vAlign w:val="center"/>
          </w:tcPr>
          <w:p>
            <w:pPr>
              <w:spacing w:line="600" w:lineRule="exact"/>
              <w:jc w:val="center"/>
              <w:rPr>
                <w:rFonts w:eastAsia="仿宋_GB2312"/>
                <w:sz w:val="28"/>
                <w:szCs w:val="28"/>
              </w:rPr>
            </w:pPr>
          </w:p>
        </w:tc>
        <w:tc>
          <w:tcPr>
            <w:tcW w:w="1973" w:type="dxa"/>
            <w:vMerge w:val="continue"/>
            <w:tcBorders>
              <w:tl2br w:val="nil"/>
              <w:tr2bl w:val="nil"/>
            </w:tcBorders>
            <w:vAlign w:val="center"/>
          </w:tcPr>
          <w:p>
            <w:pPr>
              <w:spacing w:line="6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879" w:hRule="atLeast"/>
          <w:jc w:val="center"/>
        </w:trPr>
        <w:tc>
          <w:tcPr>
            <w:tcW w:w="1904" w:type="dxa"/>
            <w:tcBorders>
              <w:tl2br w:val="nil"/>
              <w:tr2bl w:val="nil"/>
            </w:tcBorders>
            <w:vAlign w:val="center"/>
          </w:tcPr>
          <w:p>
            <w:pPr>
              <w:jc w:val="center"/>
              <w:rPr>
                <w:rFonts w:eastAsia="仿宋_GB2312"/>
                <w:sz w:val="28"/>
                <w:szCs w:val="28"/>
              </w:rPr>
            </w:pPr>
            <w:r>
              <w:rPr>
                <w:rFonts w:eastAsia="仿宋_GB2312"/>
                <w:sz w:val="28"/>
                <w:szCs w:val="28"/>
              </w:rPr>
              <w:t>工作经历</w:t>
            </w:r>
            <w:r>
              <w:rPr>
                <w:rFonts w:hint="eastAsia" w:eastAsia="仿宋_GB2312"/>
                <w:sz w:val="28"/>
                <w:szCs w:val="28"/>
              </w:rPr>
              <w:t>与</w:t>
            </w:r>
          </w:p>
          <w:p>
            <w:pPr>
              <w:jc w:val="center"/>
              <w:rPr>
                <w:rFonts w:eastAsia="仿宋_GB2312"/>
                <w:sz w:val="28"/>
                <w:szCs w:val="28"/>
              </w:rPr>
            </w:pPr>
            <w:r>
              <w:rPr>
                <w:rFonts w:hint="eastAsia" w:eastAsia="仿宋_GB2312"/>
                <w:sz w:val="28"/>
                <w:szCs w:val="28"/>
              </w:rPr>
              <w:t>相关工作经验</w:t>
            </w:r>
          </w:p>
        </w:tc>
        <w:tc>
          <w:tcPr>
            <w:tcW w:w="7340" w:type="dxa"/>
            <w:gridSpan w:val="4"/>
            <w:tcBorders>
              <w:tl2br w:val="nil"/>
              <w:tr2bl w:val="nil"/>
            </w:tcBorders>
            <w:vAlign w:val="center"/>
          </w:tcPr>
          <w:p>
            <w:pPr>
              <w:pStyle w:val="6"/>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647" w:hRule="atLeast"/>
          <w:jc w:val="center"/>
        </w:trPr>
        <w:tc>
          <w:tcPr>
            <w:tcW w:w="1904" w:type="dxa"/>
            <w:tcBorders>
              <w:bottom w:val="single" w:color="auto" w:sz="4" w:space="0"/>
              <w:tl2br w:val="nil"/>
              <w:tr2bl w:val="nil"/>
            </w:tcBorders>
            <w:vAlign w:val="center"/>
          </w:tcPr>
          <w:p>
            <w:pPr>
              <w:jc w:val="center"/>
              <w:rPr>
                <w:rFonts w:eastAsia="仿宋_GB2312"/>
                <w:sz w:val="28"/>
                <w:szCs w:val="28"/>
              </w:rPr>
            </w:pPr>
            <w:r>
              <w:rPr>
                <w:rFonts w:hint="eastAsia" w:eastAsia="仿宋_GB2312"/>
                <w:sz w:val="28"/>
                <w:szCs w:val="28"/>
              </w:rPr>
              <w:t>擅长专业</w:t>
            </w:r>
          </w:p>
        </w:tc>
        <w:tc>
          <w:tcPr>
            <w:tcW w:w="7340" w:type="dxa"/>
            <w:gridSpan w:val="4"/>
            <w:tcBorders>
              <w:bottom w:val="single" w:color="auto" w:sz="4" w:space="0"/>
              <w:tl2br w:val="nil"/>
              <w:tr2bl w:val="nil"/>
            </w:tcBorders>
            <w:vAlign w:val="center"/>
          </w:tcPr>
          <w:p>
            <w:pPr>
              <w:pStyle w:val="6"/>
              <w:spacing w:after="0" w:line="594" w:lineRule="exact"/>
              <w:ind w:left="0" w:leftChars="0" w:firstLine="0" w:firstLineChars="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1045" w:hRule="atLeast"/>
          <w:jc w:val="center"/>
        </w:trPr>
        <w:tc>
          <w:tcPr>
            <w:tcW w:w="1904" w:type="dxa"/>
            <w:tcBorders>
              <w:top w:val="single" w:color="auto" w:sz="4" w:space="0"/>
              <w:bottom w:val="single" w:color="auto" w:sz="4" w:space="0"/>
              <w:right w:val="single" w:color="auto" w:sz="4" w:space="0"/>
              <w:tl2br w:val="nil"/>
              <w:tr2bl w:val="nil"/>
            </w:tcBorders>
            <w:vAlign w:val="center"/>
          </w:tcPr>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申请加入</w:t>
            </w:r>
          </w:p>
          <w:p>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专家组</w:t>
            </w:r>
          </w:p>
          <w:p>
            <w:pPr>
              <w:jc w:val="center"/>
              <w:rPr>
                <w:rFonts w:ascii="方正仿宋_GBK" w:hAnsi="方正仿宋_GBK" w:eastAsia="方正仿宋_GBK" w:cs="方正仿宋_GBK"/>
                <w:sz w:val="28"/>
                <w:szCs w:val="22"/>
              </w:rPr>
            </w:pPr>
            <w:r>
              <w:rPr>
                <w:rFonts w:hint="eastAsia" w:ascii="方正仿宋_GBK" w:hAnsi="方正仿宋_GBK" w:eastAsia="方正仿宋_GBK" w:cs="方正仿宋_GBK"/>
                <w:sz w:val="28"/>
                <w:szCs w:val="28"/>
              </w:rPr>
              <w:t>（不超3个）</w:t>
            </w:r>
          </w:p>
        </w:tc>
        <w:tc>
          <w:tcPr>
            <w:tcW w:w="73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 xml:space="preserve">综合服务组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 xml:space="preserve">证后检查组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监督抽查组</w:t>
            </w:r>
          </w:p>
          <w:p>
            <w:pPr>
              <w:rPr>
                <w:rFonts w:ascii="方正仿宋_GBK" w:hAnsi="方正仿宋_GBK" w:eastAsia="方正仿宋_GBK" w:cs="方正仿宋_GBK"/>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 xml:space="preserve">风险监控组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 xml:space="preserve">质量帮扶组  </w:t>
            </w:r>
            <w:r>
              <w:rPr>
                <w:rFonts w:hint="eastAsia" w:ascii="方正仿宋_GBK" w:hAnsi="方正仿宋_GBK" w:eastAsia="方正仿宋_GBK" w:cs="方正仿宋_GBK"/>
                <w:sz w:val="28"/>
                <w:szCs w:val="28"/>
              </w:rPr>
              <w:sym w:font="Wingdings 2" w:char="00A3"/>
            </w:r>
            <w:r>
              <w:rPr>
                <w:rFonts w:hint="eastAsia" w:ascii="方正仿宋_GBK" w:hAnsi="方正仿宋_GBK" w:eastAsia="方正仿宋_GBK" w:cs="方正仿宋_GBK"/>
                <w:sz w:val="28"/>
                <w:szCs w:val="28"/>
              </w:rPr>
              <w:t>机构检查组</w:t>
            </w:r>
          </w:p>
          <w:p>
            <w:pPr>
              <w:rPr>
                <w:rFonts w:ascii="方正仿宋_GBK" w:hAnsi="方正仿宋_GBK" w:eastAsia="方正仿宋_GBK" w:cs="方正仿宋_GBK"/>
                <w:sz w:val="28"/>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2539" w:hRule="atLeast"/>
          <w:jc w:val="center"/>
        </w:trPr>
        <w:tc>
          <w:tcPr>
            <w:tcW w:w="1904" w:type="dxa"/>
            <w:tcBorders>
              <w:top w:val="single" w:color="auto" w:sz="4" w:space="0"/>
              <w:tl2br w:val="nil"/>
              <w:tr2bl w:val="nil"/>
            </w:tcBorders>
            <w:vAlign w:val="center"/>
          </w:tcPr>
          <w:p>
            <w:pPr>
              <w:jc w:val="center"/>
              <w:rPr>
                <w:rFonts w:eastAsia="仿宋_GB2312"/>
                <w:sz w:val="28"/>
                <w:szCs w:val="28"/>
              </w:rPr>
            </w:pPr>
            <w:r>
              <w:rPr>
                <w:rFonts w:hint="eastAsia" w:eastAsia="仿宋_GB2312"/>
                <w:sz w:val="28"/>
                <w:szCs w:val="28"/>
              </w:rPr>
              <w:t>个人承诺</w:t>
            </w:r>
          </w:p>
        </w:tc>
        <w:tc>
          <w:tcPr>
            <w:tcW w:w="7340" w:type="dxa"/>
            <w:gridSpan w:val="4"/>
            <w:tcBorders>
              <w:top w:val="single" w:color="auto" w:sz="4" w:space="0"/>
              <w:tl2br w:val="nil"/>
              <w:tr2bl w:val="nil"/>
            </w:tcBorders>
            <w:vAlign w:val="center"/>
          </w:tcPr>
          <w:p>
            <w:pPr>
              <w:spacing w:line="560" w:lineRule="exact"/>
              <w:rPr>
                <w:rFonts w:eastAsia="仿宋_GB2312" w:cs="仿宋_GB2312"/>
                <w:sz w:val="30"/>
                <w:szCs w:val="30"/>
              </w:rPr>
            </w:pPr>
            <w:r>
              <w:rPr>
                <w:rFonts w:hint="eastAsia" w:eastAsia="仿宋_GB2312" w:cs="仿宋_GB2312"/>
                <w:sz w:val="30"/>
                <w:szCs w:val="30"/>
              </w:rPr>
              <w:t>我承诺个人信息填报真实有效，参与工作期间期间履职尽责，并服从相关工作纪律与制度要求，履行保密义务，承担保密责任。</w:t>
            </w:r>
          </w:p>
          <w:p>
            <w:pPr>
              <w:rPr>
                <w:rFonts w:eastAsia="仿宋_GB2312"/>
                <w:sz w:val="28"/>
                <w:szCs w:val="28"/>
                <w:u w:val="single"/>
              </w:rPr>
            </w:pPr>
          </w:p>
          <w:p>
            <w:pPr>
              <w:rPr>
                <w:rFonts w:eastAsia="仿宋_GB2312"/>
                <w:sz w:val="28"/>
                <w:szCs w:val="28"/>
              </w:rPr>
            </w:pPr>
            <w:r>
              <w:rPr>
                <w:rFonts w:hint="eastAsia" w:eastAsia="仿宋_GB2312"/>
                <w:sz w:val="28"/>
                <w:szCs w:val="28"/>
              </w:rPr>
              <w:t xml:space="preserve">承诺人签字：               </w:t>
            </w:r>
            <w:r>
              <w:rPr>
                <w:rFonts w:hint="eastAsia"/>
                <w:sz w:val="28"/>
                <w:szCs w:val="28"/>
              </w:rPr>
              <w:t xml:space="preserve">   </w:t>
            </w:r>
            <w:r>
              <w:rPr>
                <w:rFonts w:hint="eastAsia" w:eastAsia="仿宋_GB2312"/>
                <w:sz w:val="28"/>
                <w:szCs w:val="28"/>
              </w:rPr>
              <w:t xml:space="preserve">       年 </w:t>
            </w:r>
            <w:r>
              <w:rPr>
                <w:rFonts w:hint="eastAsia"/>
                <w:sz w:val="28"/>
                <w:szCs w:val="28"/>
              </w:rPr>
              <w:t xml:space="preserve"> </w:t>
            </w:r>
            <w:r>
              <w:rPr>
                <w:rFonts w:hint="eastAsia" w:eastAsia="仿宋_GB2312"/>
                <w:sz w:val="28"/>
                <w:szCs w:val="28"/>
              </w:rPr>
              <w:t xml:space="preserve">  月  </w:t>
            </w:r>
            <w:r>
              <w:rPr>
                <w:rFonts w:hint="eastAsia"/>
                <w:sz w:val="28"/>
                <w:szCs w:val="28"/>
              </w:rPr>
              <w:t xml:space="preserve"> </w:t>
            </w:r>
            <w:r>
              <w:rPr>
                <w:rFonts w:hint="eastAsia" w:eastAsia="仿宋_GB2312"/>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1661" w:hRule="atLeast"/>
          <w:jc w:val="center"/>
        </w:trPr>
        <w:tc>
          <w:tcPr>
            <w:tcW w:w="1904" w:type="dxa"/>
            <w:tcBorders>
              <w:tl2br w:val="nil"/>
              <w:tr2bl w:val="nil"/>
            </w:tcBorders>
            <w:vAlign w:val="center"/>
          </w:tcPr>
          <w:p>
            <w:pPr>
              <w:jc w:val="center"/>
              <w:rPr>
                <w:rFonts w:eastAsia="仿宋_GB2312"/>
                <w:sz w:val="28"/>
                <w:szCs w:val="28"/>
              </w:rPr>
            </w:pPr>
            <w:r>
              <w:rPr>
                <w:rFonts w:eastAsia="仿宋_GB2312"/>
                <w:sz w:val="28"/>
                <w:szCs w:val="28"/>
              </w:rPr>
              <w:t>所在单位</w:t>
            </w:r>
          </w:p>
          <w:p>
            <w:pPr>
              <w:jc w:val="center"/>
              <w:rPr>
                <w:rFonts w:eastAsia="仿宋_GB2312"/>
                <w:sz w:val="28"/>
                <w:szCs w:val="28"/>
              </w:rPr>
            </w:pPr>
            <w:r>
              <w:rPr>
                <w:rFonts w:eastAsia="仿宋_GB2312"/>
                <w:sz w:val="28"/>
                <w:szCs w:val="28"/>
              </w:rPr>
              <w:t>意</w:t>
            </w:r>
            <w:r>
              <w:rPr>
                <w:rFonts w:hint="eastAsia"/>
                <w:sz w:val="28"/>
                <w:szCs w:val="28"/>
              </w:rPr>
              <w:t xml:space="preserve">    </w:t>
            </w:r>
            <w:r>
              <w:rPr>
                <w:rFonts w:eastAsia="仿宋_GB2312"/>
                <w:sz w:val="28"/>
                <w:szCs w:val="28"/>
              </w:rPr>
              <w:t>见</w:t>
            </w:r>
          </w:p>
        </w:tc>
        <w:tc>
          <w:tcPr>
            <w:tcW w:w="7340" w:type="dxa"/>
            <w:gridSpan w:val="4"/>
            <w:tcBorders>
              <w:tl2br w:val="nil"/>
              <w:tr2bl w:val="nil"/>
            </w:tcBorders>
            <w:vAlign w:val="center"/>
          </w:tcPr>
          <w:p>
            <w:pPr>
              <w:pStyle w:val="6"/>
              <w:ind w:left="0" w:leftChars="0" w:firstLine="0" w:firstLineChars="0"/>
              <w:rPr>
                <w:rFonts w:eastAsia="仿宋_GB2312"/>
                <w:sz w:val="28"/>
                <w:szCs w:val="28"/>
              </w:rPr>
            </w:pPr>
          </w:p>
          <w:p>
            <w:pPr>
              <w:pStyle w:val="6"/>
              <w:ind w:firstLine="560"/>
              <w:jc w:val="center"/>
              <w:rPr>
                <w:rFonts w:eastAsia="仿宋_GB2312"/>
                <w:sz w:val="28"/>
                <w:szCs w:val="28"/>
              </w:rPr>
            </w:pPr>
            <w:r>
              <w:rPr>
                <w:rFonts w:hint="eastAsia" w:eastAsia="仿宋_GB2312"/>
                <w:sz w:val="28"/>
                <w:szCs w:val="28"/>
              </w:rPr>
              <w:t>（单位盖章）</w:t>
            </w:r>
          </w:p>
          <w:p>
            <w:pPr>
              <w:pStyle w:val="6"/>
              <w:wordWrap w:val="0"/>
              <w:ind w:firstLine="560"/>
              <w:jc w:val="right"/>
              <w:rPr>
                <w:rFonts w:eastAsia="仿宋_GB2312"/>
                <w:sz w:val="28"/>
                <w:szCs w:val="28"/>
              </w:rPr>
            </w:pPr>
            <w:r>
              <w:rPr>
                <w:rFonts w:hint="eastAsia"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Ex>
        <w:trPr>
          <w:trHeight w:val="1864" w:hRule="atLeast"/>
          <w:jc w:val="center"/>
        </w:trPr>
        <w:tc>
          <w:tcPr>
            <w:tcW w:w="1904" w:type="dxa"/>
            <w:tcBorders>
              <w:tl2br w:val="nil"/>
              <w:tr2bl w:val="nil"/>
            </w:tcBorders>
            <w:vAlign w:val="center"/>
          </w:tcPr>
          <w:p>
            <w:pPr>
              <w:jc w:val="center"/>
              <w:rPr>
                <w:rFonts w:eastAsia="仿宋_GB2312"/>
                <w:sz w:val="28"/>
                <w:szCs w:val="28"/>
              </w:rPr>
            </w:pPr>
            <w:r>
              <w:rPr>
                <w:rFonts w:eastAsia="仿宋_GB2312"/>
                <w:sz w:val="28"/>
                <w:szCs w:val="28"/>
              </w:rPr>
              <w:t>推荐单位</w:t>
            </w:r>
          </w:p>
          <w:p>
            <w:pPr>
              <w:jc w:val="center"/>
              <w:rPr>
                <w:rFonts w:eastAsia="仿宋_GB2312"/>
                <w:sz w:val="28"/>
                <w:szCs w:val="28"/>
              </w:rPr>
            </w:pPr>
            <w:r>
              <w:rPr>
                <w:rFonts w:eastAsia="仿宋_GB2312"/>
                <w:sz w:val="28"/>
                <w:szCs w:val="28"/>
              </w:rPr>
              <w:t>意    见</w:t>
            </w:r>
          </w:p>
        </w:tc>
        <w:tc>
          <w:tcPr>
            <w:tcW w:w="7340" w:type="dxa"/>
            <w:gridSpan w:val="4"/>
            <w:tcBorders>
              <w:tl2br w:val="nil"/>
              <w:tr2bl w:val="nil"/>
            </w:tcBorders>
            <w:vAlign w:val="center"/>
          </w:tcPr>
          <w:p>
            <w:pPr>
              <w:pStyle w:val="6"/>
              <w:ind w:firstLine="560"/>
              <w:jc w:val="center"/>
              <w:rPr>
                <w:rFonts w:eastAsia="仿宋_GB2312"/>
                <w:sz w:val="28"/>
                <w:szCs w:val="28"/>
              </w:rPr>
            </w:pPr>
          </w:p>
          <w:p>
            <w:pPr>
              <w:pStyle w:val="6"/>
              <w:ind w:firstLine="560"/>
              <w:jc w:val="center"/>
              <w:rPr>
                <w:rFonts w:eastAsia="仿宋_GB2312"/>
                <w:sz w:val="28"/>
                <w:szCs w:val="28"/>
              </w:rPr>
            </w:pPr>
          </w:p>
          <w:p>
            <w:pPr>
              <w:pStyle w:val="6"/>
              <w:ind w:firstLine="560"/>
              <w:jc w:val="center"/>
              <w:rPr>
                <w:rFonts w:eastAsia="仿宋_GB2312"/>
                <w:sz w:val="28"/>
                <w:szCs w:val="28"/>
              </w:rPr>
            </w:pPr>
            <w:r>
              <w:rPr>
                <w:rFonts w:hint="eastAsia" w:eastAsia="仿宋_GB2312"/>
                <w:sz w:val="28"/>
                <w:szCs w:val="28"/>
              </w:rPr>
              <w:t>（单位盖章）</w:t>
            </w:r>
          </w:p>
          <w:p>
            <w:pPr>
              <w:pStyle w:val="6"/>
              <w:wordWrap w:val="0"/>
              <w:ind w:firstLine="560"/>
              <w:jc w:val="right"/>
              <w:rPr>
                <w:rFonts w:eastAsia="仿宋_GB2312"/>
                <w:sz w:val="28"/>
                <w:szCs w:val="28"/>
              </w:rPr>
            </w:pPr>
            <w:r>
              <w:rPr>
                <w:rFonts w:hint="eastAsia" w:eastAsia="仿宋_GB2312"/>
                <w:sz w:val="28"/>
                <w:szCs w:val="28"/>
              </w:rPr>
              <w:t>年        月       日</w:t>
            </w:r>
          </w:p>
        </w:tc>
      </w:tr>
    </w:tbl>
    <w:p>
      <w:pPr>
        <w:spacing w:line="100" w:lineRule="exact"/>
      </w:pPr>
    </w:p>
    <w:p>
      <w:pPr>
        <w:spacing w:before="100" w:line="230" w:lineRule="auto"/>
        <w:ind w:left="13"/>
        <w:rPr>
          <w:rFonts w:ascii="黑体" w:hAnsi="黑体" w:eastAsia="黑体" w:cs="黑体"/>
          <w:sz w:val="31"/>
          <w:szCs w:val="31"/>
        </w:rPr>
      </w:pPr>
      <w:r>
        <w:rPr>
          <w:rFonts w:ascii="黑体" w:hAnsi="黑体" w:eastAsia="黑体" w:cs="黑体"/>
          <w:spacing w:val="-5"/>
          <w:sz w:val="31"/>
          <w:szCs w:val="31"/>
        </w:rPr>
        <w:t>附件</w:t>
      </w:r>
      <w:r>
        <w:rPr>
          <w:rFonts w:ascii="黑体" w:hAnsi="黑体" w:eastAsia="黑体" w:cs="黑体"/>
          <w:spacing w:val="-73"/>
          <w:sz w:val="31"/>
          <w:szCs w:val="31"/>
        </w:rPr>
        <w:t xml:space="preserve"> </w:t>
      </w:r>
      <w:r>
        <w:rPr>
          <w:rFonts w:ascii="黑体" w:hAnsi="黑体" w:eastAsia="黑体" w:cs="黑体"/>
          <w:spacing w:val="-5"/>
          <w:sz w:val="31"/>
          <w:szCs w:val="31"/>
        </w:rPr>
        <w:t>2</w:t>
      </w:r>
    </w:p>
    <w:p>
      <w:pPr>
        <w:spacing w:line="277" w:lineRule="auto"/>
      </w:pPr>
    </w:p>
    <w:p>
      <w:pPr>
        <w:spacing w:line="560" w:lineRule="exact"/>
        <w:jc w:val="center"/>
        <w:rPr>
          <w:rFonts w:eastAsia="方正小标宋简体" w:cs="方正小标宋简体"/>
          <w:sz w:val="44"/>
          <w:szCs w:val="44"/>
        </w:rPr>
      </w:pPr>
      <w:r>
        <w:rPr>
          <w:rFonts w:hint="eastAsia" w:eastAsia="方正小标宋简体" w:cs="方正小标宋简体"/>
          <w:sz w:val="44"/>
          <w:szCs w:val="44"/>
        </w:rPr>
        <w:t>专家履职承诺书</w:t>
      </w:r>
    </w:p>
    <w:p>
      <w:pPr>
        <w:spacing w:line="333" w:lineRule="auto"/>
      </w:pPr>
    </w:p>
    <w:p>
      <w:pPr>
        <w:pStyle w:val="3"/>
        <w:spacing w:before="101" w:line="593" w:lineRule="exact"/>
        <w:ind w:right="2"/>
        <w:jc w:val="right"/>
      </w:pPr>
      <w:r>
        <w:rPr>
          <w:spacing w:val="18"/>
          <w:position w:val="21"/>
        </w:rPr>
        <w:t>本人了解作为产品质量安全监管专家应尽责任和相关工作</w:t>
      </w:r>
    </w:p>
    <w:p>
      <w:pPr>
        <w:pStyle w:val="3"/>
        <w:spacing w:line="220" w:lineRule="auto"/>
        <w:ind w:left="6"/>
      </w:pPr>
      <w:r>
        <w:rPr>
          <w:spacing w:val="3"/>
        </w:rPr>
        <w:t>要求，现作出如下承诺：</w:t>
      </w:r>
    </w:p>
    <w:p>
      <w:pPr>
        <w:pStyle w:val="3"/>
        <w:spacing w:before="225" w:line="593" w:lineRule="exact"/>
        <w:ind w:right="2"/>
        <w:jc w:val="center"/>
      </w:pPr>
      <w:r>
        <w:rPr>
          <w:spacing w:val="4"/>
          <w:position w:val="20"/>
        </w:rPr>
        <w:t>一、严格按照《产品质量安全监管专家库管理办法》有关要</w:t>
      </w:r>
    </w:p>
    <w:p>
      <w:pPr>
        <w:pStyle w:val="3"/>
        <w:spacing w:before="1" w:line="219" w:lineRule="auto"/>
        <w:ind w:left="9"/>
      </w:pPr>
      <w:r>
        <w:rPr>
          <w:spacing w:val="4"/>
        </w:rPr>
        <w:t>求，在</w:t>
      </w:r>
      <w:r>
        <w:rPr>
          <w:rFonts w:ascii="Times New Roman" w:hAnsi="Times New Roman" w:eastAsia="Times New Roman" w:cs="Times New Roman"/>
          <w:spacing w:val="4"/>
        </w:rPr>
        <w:t>3</w:t>
      </w:r>
      <w:r>
        <w:rPr>
          <w:spacing w:val="4"/>
        </w:rPr>
        <w:t>年任期内认真履职，遵守回避等相关工作纪律。</w:t>
      </w:r>
    </w:p>
    <w:p>
      <w:pPr>
        <w:pStyle w:val="3"/>
        <w:spacing w:before="226" w:line="593" w:lineRule="exact"/>
        <w:ind w:right="4"/>
        <w:jc w:val="center"/>
      </w:pPr>
      <w:r>
        <w:rPr>
          <w:spacing w:val="4"/>
          <w:position w:val="21"/>
        </w:rPr>
        <w:t>二、严格保守工作秘密，未经授权不对外公布或泄露承担专</w:t>
      </w:r>
    </w:p>
    <w:p>
      <w:pPr>
        <w:pStyle w:val="3"/>
        <w:spacing w:line="220" w:lineRule="auto"/>
      </w:pPr>
      <w:r>
        <w:rPr>
          <w:spacing w:val="4"/>
        </w:rPr>
        <w:t>项工作期间获取的相关信息。</w:t>
      </w:r>
    </w:p>
    <w:p>
      <w:pPr>
        <w:pStyle w:val="3"/>
        <w:spacing w:before="226" w:line="592" w:lineRule="exact"/>
        <w:ind w:right="2"/>
        <w:jc w:val="center"/>
      </w:pPr>
      <w:r>
        <w:rPr>
          <w:spacing w:val="4"/>
          <w:position w:val="21"/>
        </w:rPr>
        <w:t>三、严格服从工作安排，实事求是开展工作，客观公正提供</w:t>
      </w:r>
    </w:p>
    <w:p>
      <w:pPr>
        <w:pStyle w:val="3"/>
        <w:spacing w:before="1" w:line="220" w:lineRule="auto"/>
      </w:pPr>
      <w:r>
        <w:rPr>
          <w:spacing w:val="4"/>
        </w:rPr>
        <w:t>技术咨询，高质量完成承担的工作任务。</w:t>
      </w:r>
    </w:p>
    <w:p>
      <w:pPr>
        <w:pStyle w:val="3"/>
        <w:spacing w:before="224" w:line="354" w:lineRule="auto"/>
        <w:ind w:firstLine="318" w:firstLineChars="100"/>
      </w:pPr>
      <w:r>
        <w:rPr>
          <w:spacing w:val="4"/>
        </w:rPr>
        <w:t>四、严格落实中央八项规定及其实施细则精神，廉洁自律，</w:t>
      </w:r>
      <w:r>
        <w:rPr>
          <w:spacing w:val="2"/>
        </w:rPr>
        <w:t xml:space="preserve"> </w:t>
      </w:r>
      <w:r>
        <w:rPr>
          <w:spacing w:val="5"/>
        </w:rPr>
        <w:t>不接受相关请托，履职期间不参加无关活动，不收受礼品礼金礼</w:t>
      </w:r>
    </w:p>
    <w:p>
      <w:pPr>
        <w:pStyle w:val="3"/>
        <w:spacing w:before="1" w:line="223" w:lineRule="auto"/>
      </w:pPr>
      <w:r>
        <w:rPr>
          <w:spacing w:val="-1"/>
        </w:rPr>
        <w:t>券等。</w:t>
      </w:r>
    </w:p>
    <w:p>
      <w:pPr>
        <w:pStyle w:val="3"/>
        <w:spacing w:before="218" w:line="595" w:lineRule="exact"/>
        <w:ind w:right="2"/>
        <w:jc w:val="right"/>
      </w:pPr>
      <w:r>
        <w:rPr>
          <w:spacing w:val="14"/>
          <w:position w:val="21"/>
        </w:rPr>
        <w:t>如违反上述承诺或受到处分，</w:t>
      </w:r>
      <w:r>
        <w:rPr>
          <w:spacing w:val="-64"/>
          <w:position w:val="21"/>
        </w:rPr>
        <w:t xml:space="preserve"> </w:t>
      </w:r>
      <w:r>
        <w:rPr>
          <w:spacing w:val="14"/>
          <w:position w:val="21"/>
        </w:rPr>
        <w:t>以及不能有效履行专家职能</w:t>
      </w:r>
    </w:p>
    <w:p>
      <w:pPr>
        <w:pStyle w:val="3"/>
        <w:spacing w:before="1" w:line="222" w:lineRule="auto"/>
        <w:ind w:left="23"/>
      </w:pPr>
      <w:r>
        <w:rPr>
          <w:spacing w:val="2"/>
        </w:rPr>
        <w:t>的，本人自愿退出专家库。</w:t>
      </w:r>
    </w:p>
    <w:p>
      <w:pPr>
        <w:spacing w:line="354" w:lineRule="auto"/>
      </w:pPr>
    </w:p>
    <w:p>
      <w:pPr>
        <w:spacing w:line="355" w:lineRule="auto"/>
      </w:pPr>
    </w:p>
    <w:p>
      <w:pPr>
        <w:pStyle w:val="3"/>
        <w:spacing w:before="101" w:line="593" w:lineRule="exact"/>
        <w:ind w:left="5050"/>
      </w:pPr>
      <w:r>
        <w:rPr>
          <w:spacing w:val="1"/>
          <w:position w:val="20"/>
        </w:rPr>
        <w:t>承诺人：</w:t>
      </w:r>
    </w:p>
    <w:p>
      <w:pPr>
        <w:pStyle w:val="3"/>
        <w:spacing w:line="223" w:lineRule="auto"/>
        <w:ind w:left="5108"/>
      </w:pPr>
      <w:r>
        <w:rPr>
          <w:spacing w:val="-24"/>
        </w:rPr>
        <w:t>日</w:t>
      </w:r>
      <w:r>
        <w:rPr>
          <w:spacing w:val="9"/>
        </w:rPr>
        <w:t xml:space="preserve">  </w:t>
      </w:r>
      <w:r>
        <w:rPr>
          <w:spacing w:val="-24"/>
        </w:rPr>
        <w:t>期：</w:t>
      </w:r>
    </w:p>
    <w:p>
      <w:pPr>
        <w:spacing w:line="223" w:lineRule="auto"/>
        <w:sectPr>
          <w:footerReference r:id="rId3" w:type="default"/>
          <w:pgSz w:w="11906" w:h="16839"/>
          <w:pgMar w:top="1431" w:right="1468" w:bottom="1590" w:left="1605" w:header="0" w:footer="1327" w:gutter="0"/>
          <w:pgNumType w:start="1"/>
          <w:cols w:space="720" w:num="1"/>
        </w:sectPr>
      </w:pPr>
    </w:p>
    <w:p>
      <w:pPr>
        <w:spacing w:before="140" w:line="223" w:lineRule="auto"/>
        <w:ind w:left="2618" w:hanging="2618"/>
        <w:jc w:val="left"/>
        <w:rPr>
          <w:rFonts w:ascii="黑体" w:hAnsi="黑体" w:eastAsia="黑体" w:cs="黑体"/>
          <w:spacing w:val="-5"/>
          <w:sz w:val="31"/>
          <w:szCs w:val="31"/>
        </w:rPr>
      </w:pPr>
      <w:r>
        <w:rPr>
          <w:rFonts w:ascii="黑体" w:hAnsi="黑体" w:eastAsia="黑体" w:cs="黑体"/>
          <w:spacing w:val="-5"/>
          <w:sz w:val="31"/>
          <w:szCs w:val="31"/>
        </w:rPr>
        <w:t>附件</w:t>
      </w:r>
      <w:r>
        <w:rPr>
          <w:rFonts w:ascii="黑体" w:hAnsi="黑体" w:eastAsia="黑体" w:cs="黑体"/>
          <w:spacing w:val="-71"/>
          <w:sz w:val="31"/>
          <w:szCs w:val="31"/>
        </w:rPr>
        <w:t xml:space="preserve"> </w:t>
      </w:r>
      <w:r>
        <w:rPr>
          <w:rFonts w:ascii="黑体" w:hAnsi="黑体" w:eastAsia="黑体" w:cs="黑体"/>
          <w:spacing w:val="-5"/>
          <w:sz w:val="31"/>
          <w:szCs w:val="31"/>
        </w:rPr>
        <w:t>3</w:t>
      </w:r>
    </w:p>
    <w:p>
      <w:pPr>
        <w:spacing w:line="560" w:lineRule="exact"/>
        <w:jc w:val="center"/>
        <w:rPr>
          <w:rFonts w:eastAsia="方正小标宋简体" w:cs="方正小标宋简体"/>
          <w:sz w:val="44"/>
          <w:szCs w:val="44"/>
        </w:rPr>
      </w:pPr>
      <w:r>
        <w:rPr>
          <w:rFonts w:hint="eastAsia" w:eastAsia="方正小标宋简体" w:cs="方正小标宋简体"/>
          <w:sz w:val="44"/>
          <w:szCs w:val="44"/>
        </w:rPr>
        <w:t>专家履职情况评价表</w:t>
      </w:r>
    </w:p>
    <w:tbl>
      <w:tblPr>
        <w:tblStyle w:val="15"/>
        <w:tblW w:w="90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81"/>
        <w:gridCol w:w="2339"/>
        <w:gridCol w:w="1962"/>
        <w:gridCol w:w="2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4" w:hRule="atLeast"/>
        </w:trPr>
        <w:tc>
          <w:tcPr>
            <w:tcW w:w="2481" w:type="dxa"/>
          </w:tcPr>
          <w:p>
            <w:pPr>
              <w:spacing w:before="308" w:line="227" w:lineRule="auto"/>
              <w:rPr>
                <w:rFonts w:ascii="黑体" w:hAnsi="黑体" w:eastAsia="黑体" w:cs="黑体"/>
                <w:sz w:val="30"/>
                <w:szCs w:val="30"/>
              </w:rPr>
            </w:pPr>
            <w:r>
              <w:rPr>
                <w:rFonts w:ascii="黑体" w:hAnsi="黑体" w:eastAsia="黑体" w:cs="黑体"/>
                <w:spacing w:val="2"/>
                <w:sz w:val="30"/>
                <w:szCs w:val="30"/>
              </w:rPr>
              <w:t>专家姓名</w:t>
            </w:r>
          </w:p>
        </w:tc>
        <w:tc>
          <w:tcPr>
            <w:tcW w:w="2339" w:type="dxa"/>
          </w:tcPr>
          <w:p>
            <w:pPr>
              <w:pStyle w:val="11"/>
              <w:rPr>
                <w:sz w:val="30"/>
                <w:szCs w:val="30"/>
              </w:rPr>
            </w:pPr>
          </w:p>
        </w:tc>
        <w:tc>
          <w:tcPr>
            <w:tcW w:w="1962" w:type="dxa"/>
          </w:tcPr>
          <w:p>
            <w:pPr>
              <w:spacing w:before="309" w:line="228" w:lineRule="auto"/>
              <w:rPr>
                <w:rFonts w:ascii="黑体" w:hAnsi="黑体" w:eastAsia="黑体" w:cs="黑体"/>
                <w:sz w:val="30"/>
                <w:szCs w:val="30"/>
              </w:rPr>
            </w:pPr>
            <w:r>
              <w:rPr>
                <w:rFonts w:ascii="黑体" w:hAnsi="黑体" w:eastAsia="黑体" w:cs="黑体"/>
                <w:spacing w:val="3"/>
                <w:sz w:val="30"/>
                <w:szCs w:val="30"/>
              </w:rPr>
              <w:t>入库时间</w:t>
            </w:r>
          </w:p>
        </w:tc>
        <w:tc>
          <w:tcPr>
            <w:tcW w:w="2278" w:type="dxa"/>
          </w:tcPr>
          <w:p>
            <w:pPr>
              <w:pStyle w:val="11"/>
              <w:rPr>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5" w:hRule="atLeast"/>
        </w:trPr>
        <w:tc>
          <w:tcPr>
            <w:tcW w:w="2481" w:type="dxa"/>
          </w:tcPr>
          <w:p>
            <w:pPr>
              <w:spacing w:before="177" w:line="227" w:lineRule="auto"/>
              <w:rPr>
                <w:rFonts w:ascii="黑体" w:hAnsi="黑体" w:eastAsia="黑体" w:cs="黑体"/>
                <w:sz w:val="30"/>
                <w:szCs w:val="30"/>
              </w:rPr>
            </w:pPr>
            <w:r>
              <w:rPr>
                <w:rFonts w:ascii="黑体" w:hAnsi="黑体" w:eastAsia="黑体" w:cs="黑体"/>
                <w:spacing w:val="3"/>
                <w:sz w:val="30"/>
                <w:szCs w:val="30"/>
              </w:rPr>
              <w:t>工作组名称</w:t>
            </w:r>
          </w:p>
        </w:tc>
        <w:tc>
          <w:tcPr>
            <w:tcW w:w="6579" w:type="dxa"/>
            <w:gridSpan w:val="3"/>
          </w:tcPr>
          <w:p>
            <w:pPr>
              <w:pStyle w:val="11"/>
              <w:rPr>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50" w:hRule="atLeast"/>
        </w:trPr>
        <w:tc>
          <w:tcPr>
            <w:tcW w:w="9060" w:type="dxa"/>
            <w:gridSpan w:val="4"/>
          </w:tcPr>
          <w:p>
            <w:pPr>
              <w:spacing w:before="301" w:line="609" w:lineRule="exact"/>
              <w:rPr>
                <w:rFonts w:ascii="楷体" w:hAnsi="楷体" w:eastAsia="楷体" w:cs="楷体"/>
                <w:sz w:val="28"/>
                <w:szCs w:val="28"/>
              </w:rPr>
            </w:pPr>
            <w:r>
              <w:rPr>
                <w:rFonts w:ascii="黑体" w:hAnsi="黑体" w:eastAsia="黑体" w:cs="黑体"/>
                <w:spacing w:val="-2"/>
                <w:position w:val="22"/>
                <w:sz w:val="31"/>
                <w:szCs w:val="31"/>
              </w:rPr>
              <w:t>任务完成情况</w:t>
            </w:r>
            <w:r>
              <w:rPr>
                <w:rFonts w:ascii="楷体" w:hAnsi="楷体" w:eastAsia="楷体" w:cs="楷体"/>
                <w:spacing w:val="-2"/>
                <w:position w:val="22"/>
                <w:sz w:val="28"/>
                <w:szCs w:val="28"/>
              </w:rPr>
              <w:t>（包括什么时间，什么任务，使用</w:t>
            </w:r>
            <w:r>
              <w:rPr>
                <w:rFonts w:ascii="楷体" w:hAnsi="楷体" w:eastAsia="楷体" w:cs="楷体"/>
                <w:spacing w:val="-3"/>
                <w:position w:val="22"/>
                <w:sz w:val="28"/>
                <w:szCs w:val="28"/>
              </w:rPr>
              <w:t>专家情况，专家专业水</w:t>
            </w:r>
          </w:p>
          <w:p>
            <w:pPr>
              <w:spacing w:line="198" w:lineRule="auto"/>
              <w:ind w:left="119"/>
              <w:rPr>
                <w:rFonts w:ascii="仿宋" w:hAnsi="仿宋" w:eastAsia="仿宋" w:cs="仿宋"/>
                <w:sz w:val="31"/>
                <w:szCs w:val="31"/>
              </w:rPr>
            </w:pPr>
            <w:r>
              <w:rPr>
                <w:rFonts w:ascii="楷体" w:hAnsi="楷体" w:eastAsia="楷体" w:cs="楷体"/>
                <w:spacing w:val="-5"/>
                <w:sz w:val="28"/>
                <w:szCs w:val="28"/>
              </w:rPr>
              <w:t>平、工作态度，以及遵守承诺事项等</w:t>
            </w:r>
            <w:r>
              <w:rPr>
                <w:rFonts w:ascii="楷体" w:hAnsi="楷体" w:eastAsia="楷体" w:cs="楷体"/>
                <w:spacing w:val="-70"/>
                <w:sz w:val="28"/>
                <w:szCs w:val="28"/>
              </w:rPr>
              <w:t>）</w:t>
            </w:r>
            <w:r>
              <w:rPr>
                <w:rFonts w:ascii="仿宋" w:hAnsi="仿宋" w:eastAsia="仿宋" w:cs="仿宋"/>
                <w:spacing w:val="-70"/>
                <w:sz w:val="31"/>
                <w:szCs w:val="3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8" w:hRule="atLeast"/>
        </w:trPr>
        <w:tc>
          <w:tcPr>
            <w:tcW w:w="2481" w:type="dxa"/>
          </w:tcPr>
          <w:p>
            <w:pPr>
              <w:spacing w:before="251" w:line="227" w:lineRule="auto"/>
              <w:rPr>
                <w:rFonts w:ascii="黑体" w:hAnsi="黑体" w:eastAsia="黑体" w:cs="黑体"/>
                <w:sz w:val="31"/>
                <w:szCs w:val="31"/>
              </w:rPr>
            </w:pPr>
            <w:r>
              <w:rPr>
                <w:rFonts w:ascii="黑体" w:hAnsi="黑体" w:eastAsia="黑体" w:cs="黑体"/>
                <w:sz w:val="31"/>
                <w:szCs w:val="31"/>
              </w:rPr>
              <w:t>评价</w:t>
            </w:r>
          </w:p>
        </w:tc>
        <w:tc>
          <w:tcPr>
            <w:tcW w:w="6579" w:type="dxa"/>
            <w:gridSpan w:val="3"/>
          </w:tcPr>
          <w:p>
            <w:pPr>
              <w:spacing w:before="251" w:line="227" w:lineRule="auto"/>
              <w:ind w:left="126"/>
              <w:rPr>
                <w:rFonts w:ascii="黑体" w:hAnsi="黑体" w:eastAsia="黑体" w:cs="黑体"/>
                <w:sz w:val="31"/>
                <w:szCs w:val="31"/>
              </w:rPr>
            </w:pPr>
            <w:r>
              <w:rPr>
                <w:rFonts w:ascii="黑体" w:hAnsi="黑体" w:eastAsia="黑体" w:cs="黑体"/>
                <w:sz w:val="31"/>
                <w:szCs w:val="31"/>
              </w:rPr>
              <w:t>□优秀    □ 良好    □ 一般    □ 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9" w:hRule="atLeast"/>
        </w:trPr>
        <w:tc>
          <w:tcPr>
            <w:tcW w:w="9060" w:type="dxa"/>
            <w:gridSpan w:val="4"/>
          </w:tcPr>
          <w:p>
            <w:pPr>
              <w:spacing w:before="181" w:line="226" w:lineRule="auto"/>
              <w:rPr>
                <w:rFonts w:ascii="仿宋" w:hAnsi="仿宋" w:eastAsia="仿宋" w:cs="仿宋"/>
                <w:sz w:val="31"/>
                <w:szCs w:val="31"/>
              </w:rPr>
            </w:pPr>
            <w:r>
              <w:rPr>
                <w:rFonts w:hint="eastAsia" w:ascii="黑体" w:hAnsi="黑体" w:eastAsia="黑体" w:cs="黑体"/>
                <w:sz w:val="31"/>
                <w:szCs w:val="31"/>
              </w:rPr>
              <w:t>专家组</w:t>
            </w:r>
            <w:r>
              <w:rPr>
                <w:rFonts w:ascii="黑体" w:hAnsi="黑体" w:eastAsia="黑体" w:cs="黑体"/>
                <w:sz w:val="31"/>
                <w:szCs w:val="31"/>
              </w:rPr>
              <w:t>评价意见（</w:t>
            </w:r>
            <w:r>
              <w:rPr>
                <w:rFonts w:ascii="楷体" w:hAnsi="楷体" w:eastAsia="楷体" w:cs="楷体"/>
                <w:sz w:val="28"/>
                <w:szCs w:val="28"/>
              </w:rPr>
              <w:t>总体评价优秀或差的需说明具体情况</w:t>
            </w:r>
            <w:r>
              <w:rPr>
                <w:rFonts w:ascii="楷体" w:hAnsi="楷体" w:eastAsia="楷体" w:cs="楷体"/>
                <w:spacing w:val="-62"/>
                <w:w w:val="82"/>
                <w:sz w:val="28"/>
                <w:szCs w:val="28"/>
              </w:rPr>
              <w:t>）</w:t>
            </w:r>
            <w:r>
              <w:rPr>
                <w:rFonts w:ascii="仿宋" w:hAnsi="仿宋" w:eastAsia="仿宋" w:cs="仿宋"/>
                <w:spacing w:val="-62"/>
                <w:w w:val="82"/>
                <w:sz w:val="31"/>
                <w:szCs w:val="3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48" w:hRule="atLeast"/>
        </w:trPr>
        <w:tc>
          <w:tcPr>
            <w:tcW w:w="9060" w:type="dxa"/>
            <w:gridSpan w:val="4"/>
          </w:tcPr>
          <w:p>
            <w:pPr>
              <w:spacing w:before="181" w:line="226" w:lineRule="auto"/>
              <w:rPr>
                <w:rFonts w:ascii="黑体" w:hAnsi="黑体" w:eastAsia="黑体" w:cs="黑体"/>
                <w:sz w:val="31"/>
                <w:szCs w:val="31"/>
              </w:rPr>
            </w:pPr>
            <w:r>
              <w:rPr>
                <w:rFonts w:hint="eastAsia" w:ascii="黑体" w:hAnsi="黑体" w:eastAsia="黑体" w:cs="黑体"/>
                <w:sz w:val="31"/>
                <w:szCs w:val="31"/>
              </w:rPr>
              <w:t>省局人才开发中心</w:t>
            </w:r>
            <w:r>
              <w:rPr>
                <w:rFonts w:ascii="黑体" w:hAnsi="黑体" w:eastAsia="黑体" w:cs="黑体"/>
                <w:sz w:val="31"/>
                <w:szCs w:val="31"/>
              </w:rPr>
              <w:t>评价意见（</w:t>
            </w:r>
            <w:r>
              <w:rPr>
                <w:rFonts w:ascii="楷体" w:hAnsi="楷体" w:eastAsia="楷体" w:cs="楷体"/>
                <w:sz w:val="28"/>
                <w:szCs w:val="28"/>
              </w:rPr>
              <w:t>总体评价优秀或差的需说明具体情况</w:t>
            </w:r>
            <w:r>
              <w:rPr>
                <w:rFonts w:ascii="楷体" w:hAnsi="楷体" w:eastAsia="楷体" w:cs="楷体"/>
                <w:spacing w:val="-62"/>
                <w:w w:val="82"/>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0" w:hRule="atLeast"/>
        </w:trPr>
        <w:tc>
          <w:tcPr>
            <w:tcW w:w="2481" w:type="dxa"/>
          </w:tcPr>
          <w:p>
            <w:pPr>
              <w:spacing w:before="251" w:line="227" w:lineRule="auto"/>
              <w:rPr>
                <w:rFonts w:ascii="黑体" w:hAnsi="黑体" w:eastAsia="黑体" w:cs="黑体"/>
                <w:sz w:val="31"/>
                <w:szCs w:val="31"/>
              </w:rPr>
            </w:pPr>
            <w:r>
              <w:rPr>
                <w:rFonts w:hint="eastAsia" w:ascii="黑体" w:hAnsi="黑体" w:eastAsia="黑体" w:cs="黑体"/>
                <w:sz w:val="31"/>
                <w:szCs w:val="31"/>
              </w:rPr>
              <w:t>总</w:t>
            </w:r>
            <w:r>
              <w:rPr>
                <w:rFonts w:ascii="黑体" w:hAnsi="黑体" w:eastAsia="黑体" w:cs="黑体"/>
                <w:sz w:val="31"/>
                <w:szCs w:val="31"/>
              </w:rPr>
              <w:t>评价</w:t>
            </w:r>
          </w:p>
        </w:tc>
        <w:tc>
          <w:tcPr>
            <w:tcW w:w="6579" w:type="dxa"/>
            <w:gridSpan w:val="3"/>
          </w:tcPr>
          <w:p>
            <w:pPr>
              <w:spacing w:before="251" w:line="227" w:lineRule="auto"/>
              <w:ind w:left="126"/>
              <w:rPr>
                <w:rFonts w:ascii="黑体" w:hAnsi="黑体" w:eastAsia="黑体" w:cs="黑体"/>
                <w:sz w:val="31"/>
                <w:szCs w:val="31"/>
              </w:rPr>
            </w:pPr>
            <w:r>
              <w:rPr>
                <w:rFonts w:ascii="黑体" w:hAnsi="黑体" w:eastAsia="黑体" w:cs="黑体"/>
                <w:sz w:val="31"/>
                <w:szCs w:val="31"/>
              </w:rPr>
              <w:t>□优秀    □ 良好    □ 一般    □ 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94" w:hRule="atLeast"/>
        </w:trPr>
        <w:tc>
          <w:tcPr>
            <w:tcW w:w="9060" w:type="dxa"/>
            <w:gridSpan w:val="4"/>
          </w:tcPr>
          <w:p>
            <w:pPr>
              <w:spacing w:before="100" w:line="227" w:lineRule="auto"/>
              <w:rPr>
                <w:rFonts w:ascii="楷体" w:hAnsi="楷体" w:eastAsia="楷体" w:cs="楷体"/>
                <w:sz w:val="28"/>
                <w:szCs w:val="28"/>
              </w:rPr>
            </w:pPr>
            <w:r>
              <w:rPr>
                <w:rFonts w:ascii="黑体" w:hAnsi="黑体" w:eastAsia="黑体" w:cs="黑体"/>
                <w:spacing w:val="-4"/>
                <w:sz w:val="31"/>
                <w:szCs w:val="31"/>
              </w:rPr>
              <w:t>备注</w:t>
            </w:r>
            <w:r>
              <w:rPr>
                <w:rFonts w:ascii="楷体" w:hAnsi="楷体" w:eastAsia="楷体" w:cs="楷体"/>
                <w:spacing w:val="-4"/>
                <w:sz w:val="28"/>
                <w:szCs w:val="28"/>
              </w:rPr>
              <w:t>（填写该专家本年内使用次数以及历年使用总次数等情况</w:t>
            </w:r>
            <w:r>
              <w:rPr>
                <w:rFonts w:ascii="楷体" w:hAnsi="楷体" w:eastAsia="楷体" w:cs="楷体"/>
                <w:spacing w:val="-69"/>
                <w:sz w:val="28"/>
                <w:szCs w:val="28"/>
              </w:rPr>
              <w:t>）：</w:t>
            </w:r>
          </w:p>
        </w:tc>
      </w:tr>
    </w:tbl>
    <w:p>
      <w:pPr>
        <w:spacing w:before="80" w:line="197" w:lineRule="auto"/>
        <w:rPr>
          <w:sz w:val="28"/>
          <w:szCs w:val="28"/>
        </w:rPr>
      </w:pPr>
    </w:p>
    <w:sectPr>
      <w:headerReference r:id="rId4" w:type="default"/>
      <w:footerReference r:id="rId5" w:type="default"/>
      <w:footerReference r:id="rId6" w:type="even"/>
      <w:pgSz w:w="11906" w:h="16838"/>
      <w:pgMar w:top="2098" w:right="1474" w:bottom="1928" w:left="1587" w:header="851" w:footer="1134" w:gutter="0"/>
      <w:cols w:space="720" w:num="1"/>
      <w:docGrid w:type="lines" w:linePitch="312"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302"/>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175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7575" cy="1828800"/>
                      </a:xfrm>
                      <a:prstGeom prst="rect">
                        <a:avLst/>
                      </a:prstGeom>
                      <a:noFill/>
                      <a:ln>
                        <a:noFill/>
                      </a:ln>
                      <a:effectLst/>
                    </wps:spPr>
                    <wps:txbx>
                      <w:txbxContent>
                        <w:p>
                          <w:pPr>
                            <w:pStyle w:val="5"/>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square" lIns="0" tIns="0" rIns="0" bIns="0">
                      <a:spAutoFit/>
                    </wps:bodyPr>
                  </wps:wsp>
                </a:graphicData>
              </a:graphic>
            </wp:anchor>
          </w:drawing>
        </mc:Choice>
        <mc:Fallback>
          <w:pict>
            <v:shape id="_x0000_s1026" o:spid="_x0000_s1026" o:spt="202" type="#_x0000_t202" style="position:absolute;left:0pt;margin-top:0pt;height:144pt;width:72.25pt;mso-position-horizontal:outside;mso-position-horizontal-relative:margin;z-index:251658240;mso-width-relative:page;mso-height-relative:page;" filled="f" stroked="f" coordsize="21600,21600" o:gfxdata="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HS&#10;h9XUAAAABQEAAA8AAAAAAAAAAQAgAAAAIgAAAGRycy9kb3ducmV2LnhtbFBLAQIUABQAAAAIAIdO&#10;4kBk9vSwtQEAAE4DAAAOAAAAAAAAAAEAIAAAACMBAABkcnMvZTJvRG9jLnhtbFBLBQYAAAAABgAG&#10;AFkBAABKBQAAAAA=&#10;">
              <v:fill on="f" focussize="0,0"/>
              <v:stroke on="f"/>
              <v:imagedata o:title=""/>
              <o:lock v:ext="edit" aspectratio="f"/>
              <v:textbox inset="0mm,0mm,0mm,0mm" style="mso-fit-shape-to-text:t;">
                <w:txbxContent>
                  <w:p>
                    <w:pPr>
                      <w:pStyle w:val="5"/>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Fonts w:ascii="Calibri" w:hAnsi="Calibri"/>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C17CE"/>
    <w:multiLevelType w:val="singleLevel"/>
    <w:tmpl w:val="64FC17C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D1609"/>
    <w:rsid w:val="0094514F"/>
    <w:rsid w:val="0099784A"/>
    <w:rsid w:val="00A77A3A"/>
    <w:rsid w:val="00AB2970"/>
    <w:rsid w:val="00E77136"/>
    <w:rsid w:val="07761F62"/>
    <w:rsid w:val="1B4159C8"/>
    <w:rsid w:val="30E5017C"/>
    <w:rsid w:val="33372812"/>
    <w:rsid w:val="3D560291"/>
    <w:rsid w:val="58FA3099"/>
    <w:rsid w:val="626219BD"/>
    <w:rsid w:val="6C973203"/>
    <w:rsid w:val="78ED1609"/>
    <w:rsid w:val="7C26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1"/>
    <w:qFormat/>
    <w:uiPriority w:val="0"/>
    <w:pPr>
      <w:widowControl w:val="0"/>
      <w:suppressAutoHyphens/>
      <w:spacing w:after="140" w:line="276" w:lineRule="auto"/>
      <w:ind w:firstLine="420" w:firstLineChars="100"/>
      <w:jc w:val="both"/>
    </w:pPr>
    <w:rPr>
      <w:rFonts w:ascii="Calibri" w:hAnsi="Calibri" w:eastAsia="宋体" w:cs="Times New Roman"/>
      <w:kern w:val="2"/>
      <w:sz w:val="21"/>
      <w:szCs w:val="24"/>
      <w:lang w:val="en-US" w:eastAsia="zh-CN" w:bidi="ar-SA"/>
    </w:rPr>
  </w:style>
  <w:style w:type="paragraph" w:styleId="3">
    <w:name w:val="Body Text"/>
    <w:semiHidden/>
    <w:qFormat/>
    <w:uiPriority w:val="0"/>
    <w:pPr>
      <w:widowControl w:val="0"/>
      <w:jc w:val="both"/>
    </w:pPr>
    <w:rPr>
      <w:rFonts w:ascii="仿宋" w:hAnsi="仿宋" w:eastAsia="仿宋" w:cs="仿宋"/>
      <w:kern w:val="2"/>
      <w:sz w:val="31"/>
      <w:szCs w:val="31"/>
      <w:lang w:val="en-US" w:eastAsia="zh-CN" w:bidi="ar-SA"/>
    </w:rPr>
  </w:style>
  <w:style w:type="paragraph" w:styleId="4">
    <w:name w:val="Body Text Indent"/>
    <w:unhideWhenUsed/>
    <w:qFormat/>
    <w:uiPriority w:val="99"/>
    <w:pPr>
      <w:widowControl w:val="0"/>
      <w:overflowPunct w:val="0"/>
      <w:topLinePunct/>
      <w:spacing w:after="120"/>
      <w:ind w:left="420" w:leftChars="200"/>
      <w:jc w:val="both"/>
    </w:pPr>
    <w:rPr>
      <w:rFonts w:ascii="Times New Roman" w:hAnsi="Times New Roman" w:eastAsia="宋体" w:cs="Times New Roman"/>
      <w:kern w:val="2"/>
      <w:sz w:val="21"/>
      <w:szCs w:val="32"/>
      <w:lang w:val="en-US" w:eastAsia="zh-CN" w:bidi="ar-SA"/>
    </w:rPr>
  </w:style>
  <w:style w:type="paragraph" w:styleId="5">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6">
    <w:name w:val="Body Text First Indent 2"/>
    <w:unhideWhenUsed/>
    <w:qFormat/>
    <w:uiPriority w:val="99"/>
    <w:pPr>
      <w:widowControl w:val="0"/>
      <w:overflowPunct w:val="0"/>
      <w:topLinePunct/>
      <w:spacing w:after="120"/>
      <w:ind w:left="420" w:leftChars="200" w:firstLine="420" w:firstLineChars="200"/>
      <w:jc w:val="both"/>
    </w:pPr>
    <w:rPr>
      <w:rFonts w:ascii="Times New Roman" w:hAnsi="Times New Roman" w:eastAsia="宋体" w:cs="Times New Roman"/>
      <w:kern w:val="2"/>
      <w:sz w:val="21"/>
      <w:szCs w:val="32"/>
      <w:lang w:val="en-US" w:eastAsia="zh-CN" w:bidi="ar-SA"/>
    </w:rPr>
  </w:style>
  <w:style w:type="paragraph" w:styleId="7">
    <w:name w:val="header"/>
    <w:qFormat/>
    <w:uiPriority w:val="0"/>
    <w:pPr>
      <w:widowControl w:val="0"/>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character" w:styleId="9">
    <w:name w:val="page number"/>
    <w:qFormat/>
    <w:uiPriority w:val="0"/>
  </w:style>
  <w:style w:type="paragraph" w:customStyle="1" w:styleId="11">
    <w:name w:val="Table Text"/>
    <w:semiHidden/>
    <w:qFormat/>
    <w:uiPriority w:val="0"/>
    <w:pPr>
      <w:widowControl w:val="0"/>
      <w:jc w:val="both"/>
    </w:pPr>
    <w:rPr>
      <w:rFonts w:ascii="Times New Roman" w:hAnsi="Times New Roman" w:eastAsia="Arial" w:cs="Times New Roman"/>
      <w:kern w:val="2"/>
      <w:sz w:val="21"/>
      <w:szCs w:val="24"/>
      <w:lang w:val="en-US" w:eastAsia="zh-CN" w:bidi="ar-SA"/>
    </w:rPr>
  </w:style>
  <w:style w:type="paragraph" w:customStyle="1" w:styleId="12">
    <w:name w:val="公文正文"/>
    <w:qFormat/>
    <w:uiPriority w:val="0"/>
    <w:pPr>
      <w:widowControl w:val="0"/>
      <w:jc w:val="both"/>
    </w:pPr>
    <w:rPr>
      <w:rFonts w:ascii="Times New Roman" w:hAnsi="Times New Roman" w:eastAsia="仿宋_GB2312" w:cs="Times New Roman"/>
      <w:kern w:val="2"/>
      <w:sz w:val="32"/>
      <w:szCs w:val="30"/>
      <w:lang w:val="en-US" w:eastAsia="zh-CN" w:bidi="ar-SA"/>
    </w:rPr>
  </w:style>
  <w:style w:type="character" w:customStyle="1" w:styleId="13">
    <w:name w:val="样式 仿宋_GB2312"/>
    <w:qFormat/>
    <w:uiPriority w:val="0"/>
    <w:rPr>
      <w:rFonts w:ascii="仿宋_GB2312" w:hAnsi="仿宋_GB2312" w:eastAsia="仿宋_GB2312"/>
      <w:sz w:val="32"/>
    </w:rPr>
  </w:style>
  <w:style w:type="character" w:customStyle="1" w:styleId="14">
    <w:name w:val="样式 仿宋_GB23121"/>
    <w:qFormat/>
    <w:uiPriority w:val="0"/>
    <w:rPr>
      <w:rFonts w:ascii="仿宋_GB2312" w:hAnsi="仿宋_GB2312" w:eastAsia="仿宋_GB2312"/>
      <w:sz w:val="32"/>
    </w:rPr>
  </w:style>
  <w:style w:type="table" w:customStyle="1" w:styleId="1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E&#30424;&#25968;&#25454;\2024&#24180;&#25991;&#26723;\XXZ\&#19987;&#23478;&#30456;&#20851;&#26448;&#26009;\20244&#31119;&#24314;&#30465;&#20135;&#21697;&#30417;&#31649;&#19987;&#23478;&#24211;&#31649;&#29702;&#21150;&#278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20244福建省产品监管专家库管理办法.dot</Template>
  <Pages>10</Pages>
  <Words>667</Words>
  <Characters>3807</Characters>
  <Lines>31</Lines>
  <Paragraphs>8</Paragraphs>
  <TotalTime>55</TotalTime>
  <ScaleCrop>false</ScaleCrop>
  <LinksUpToDate>false</LinksUpToDate>
  <CharactersWithSpaces>4466</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2024-04-28T08:06:00Z</dcterms:created>
  <dc:creator>Administrator</dc:creator>
  <cp:lastModifiedBy>Administrator</cp:lastModifiedBy>
  <cp:lastPrinted>2024-04-30T02:20:57Z</cp:lastPrinted>
  <dcterms:modified xsi:type="dcterms:W3CDTF">2024-04-30T03:23:02Z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