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62A6D">
      <w:pPr>
        <w:spacing w:line="360" w:lineRule="auto"/>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1F7429DD">
      <w:pPr>
        <w:spacing w:line="360" w:lineRule="auto"/>
        <w:jc w:val="left"/>
        <w:rPr>
          <w:rFonts w:hint="eastAsia" w:ascii="方正小标宋简体" w:hAnsi="方正小标宋简体" w:eastAsia="方正小标宋简体" w:cs="方正小标宋简体"/>
          <w:sz w:val="36"/>
          <w:szCs w:val="36"/>
        </w:rPr>
      </w:pPr>
    </w:p>
    <w:p w14:paraId="5351D819">
      <w:pPr>
        <w:spacing w:line="360" w:lineRule="auto"/>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“福建省</w:t>
      </w:r>
      <w:r>
        <w:rPr>
          <w:rFonts w:hint="eastAsia" w:ascii="方正小标宋简体" w:hAnsi="方正小标宋简体" w:eastAsia="方正小标宋简体"/>
          <w:sz w:val="36"/>
          <w:szCs w:val="36"/>
          <w:lang w:val="en-US" w:eastAsia="zh-CN"/>
        </w:rPr>
        <w:t>市场监管局</w:t>
      </w:r>
      <w:r>
        <w:rPr>
          <w:rFonts w:ascii="方正小标宋简体" w:hAnsi="方正小标宋简体" w:eastAsia="方正小标宋简体"/>
          <w:sz w:val="36"/>
          <w:szCs w:val="36"/>
        </w:rPr>
        <w:t>一体化协同办公平台功能</w:t>
      </w:r>
    </w:p>
    <w:p w14:paraId="0C8F654B">
      <w:pPr>
        <w:spacing w:line="360" w:lineRule="auto"/>
        <w:jc w:val="center"/>
        <w:rPr>
          <w:rFonts w:hint="eastAsia"/>
        </w:rPr>
      </w:pPr>
      <w:r>
        <w:rPr>
          <w:rFonts w:ascii="方正小标宋简体" w:hAnsi="方正小标宋简体" w:eastAsia="方正小标宋简体"/>
          <w:sz w:val="36"/>
          <w:szCs w:val="36"/>
        </w:rPr>
        <w:t>提升服务”报价表</w:t>
      </w:r>
    </w:p>
    <w:p w14:paraId="742D956E">
      <w:pPr>
        <w:jc w:val="right"/>
        <w:rPr>
          <w:rFonts w:ascii="仿宋_GB2312" w:hAnsi="仿宋_GB2312" w:eastAsia="仿宋_GB2312"/>
          <w:sz w:val="28"/>
          <w:szCs w:val="28"/>
        </w:rPr>
      </w:pPr>
      <w:r>
        <w:rPr>
          <w:rFonts w:ascii="Times New Roman" w:hAnsi="Times New Roman" w:eastAsia="仿宋_GB2312" w:cs="Times New Roman"/>
          <w:kern w:val="0"/>
          <w:sz w:val="32"/>
          <w:szCs w:val="32"/>
        </w:rPr>
        <w:t>2026</w:t>
      </w:r>
      <w:r>
        <w:rPr>
          <w:rFonts w:ascii="仿宋_GB2312" w:hAnsi="仿宋_GB2312" w:eastAsia="仿宋_GB2312"/>
          <w:sz w:val="28"/>
          <w:szCs w:val="28"/>
        </w:rPr>
        <w:t>年  月  日</w:t>
      </w:r>
    </w:p>
    <w:p w14:paraId="67416FFB">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（盖章）</w:t>
      </w:r>
    </w:p>
    <w:p w14:paraId="5471D868">
      <w:pPr>
        <w:rPr>
          <w:rFonts w:ascii="Times New Roman" w:hAnsi="Times New Roman" w:eastAsia="仿宋_GB2312" w:cs="Times New Roman"/>
          <w:kern w:val="0"/>
          <w:sz w:val="32"/>
          <w:szCs w:val="32"/>
          <w:u w:val="single"/>
        </w:rPr>
      </w:pPr>
      <w:r>
        <w:rPr>
          <w:rFonts w:ascii="Times New Roman" w:hAnsi="Times New Roman" w:eastAsia="仿宋_GB2312" w:cs="Times New Roman"/>
          <w:kern w:val="0"/>
          <w:sz w:val="32"/>
          <w:szCs w:val="32"/>
        </w:rPr>
        <w:t>联系人：</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联系电话：</w:t>
      </w:r>
      <w:r>
        <w:rPr>
          <w:rFonts w:ascii="Times New Roman" w:hAnsi="Times New Roman" w:eastAsia="仿宋_GB2312" w:cs="Times New Roman"/>
          <w:kern w:val="0"/>
          <w:sz w:val="32"/>
          <w:szCs w:val="32"/>
          <w:u w:val="single"/>
        </w:rPr>
        <w:t xml:space="preserve">            </w:t>
      </w:r>
    </w:p>
    <w:p w14:paraId="65ED23B7">
      <w:pPr>
        <w:rPr>
          <w:rFonts w:ascii="Times New Roman" w:hAnsi="Times New Roman" w:eastAsia="仿宋_GB2312" w:cs="Times New Roman"/>
          <w:kern w:val="0"/>
          <w:sz w:val="32"/>
          <w:szCs w:val="32"/>
          <w:u w:val="single"/>
        </w:rPr>
      </w:pPr>
    </w:p>
    <w:p w14:paraId="1C074AB4">
      <w:pPr>
        <w:spacing w:line="360" w:lineRule="auto"/>
        <w:rPr>
          <w:rFonts w:hint="eastAsia"/>
          <w:sz w:val="32"/>
          <w:szCs w:val="32"/>
        </w:rPr>
      </w:pPr>
      <w:r>
        <w:rPr>
          <w:rFonts w:ascii="黑体" w:hAnsi="黑体" w:eastAsia="黑体"/>
          <w:sz w:val="32"/>
          <w:szCs w:val="32"/>
        </w:rPr>
        <w:t>一、项目概况</w:t>
      </w:r>
    </w:p>
    <w:p w14:paraId="0B0E7A47">
      <w:pPr>
        <w:spacing w:line="360" w:lineRule="auto"/>
        <w:ind w:firstLine="560"/>
        <w:rPr>
          <w:rFonts w:hint="eastAsia" w:ascii="宋体" w:hAnsi="宋体" w:eastAsia="宋体"/>
          <w:szCs w:val="24"/>
          <w:lang w:eastAsia="zh-CN"/>
        </w:rPr>
      </w:pPr>
      <w:r>
        <w:rPr>
          <w:rFonts w:hint="eastAsia" w:ascii="宋体" w:hAnsi="宋体" w:eastAsia="宋体" w:cs="Times New Roman"/>
          <w:kern w:val="0"/>
          <w:szCs w:val="32"/>
        </w:rPr>
        <w:t>本项目拟采购</w:t>
      </w:r>
      <w:r>
        <w:rPr>
          <w:rFonts w:hint="eastAsia" w:ascii="宋体" w:hAnsi="宋体" w:eastAsia="宋体" w:cs="Times New Roman"/>
          <w:kern w:val="0"/>
          <w:szCs w:val="32"/>
          <w:lang w:val="en-US" w:eastAsia="zh-CN"/>
        </w:rPr>
        <w:t>福建省市场监管局一体化协同办公平台功能提升服务</w:t>
      </w:r>
      <w:r>
        <w:rPr>
          <w:rFonts w:hint="eastAsia" w:ascii="宋体" w:hAnsi="宋体" w:eastAsia="宋体" w:cs="Times New Roman"/>
          <w:kern w:val="0"/>
          <w:szCs w:val="32"/>
        </w:rPr>
        <w:t>。该服务基于</w:t>
      </w:r>
      <w:r>
        <w:rPr>
          <w:rFonts w:hint="eastAsia" w:ascii="宋体" w:hAnsi="宋体" w:eastAsia="宋体"/>
          <w:szCs w:val="24"/>
        </w:rPr>
        <w:t>福建省省级一体化协同办公平台</w:t>
      </w:r>
      <w:r>
        <w:rPr>
          <w:rFonts w:hint="eastAsia" w:ascii="宋体" w:hAnsi="宋体" w:eastAsia="宋体" w:cs="Times New Roman"/>
          <w:kern w:val="0"/>
          <w:szCs w:val="32"/>
        </w:rPr>
        <w:t>，</w:t>
      </w:r>
      <w:r>
        <w:rPr>
          <w:rFonts w:ascii="宋体" w:hAnsi="宋体" w:eastAsia="宋体" w:cs="宋体"/>
          <w:sz w:val="24"/>
          <w:szCs w:val="24"/>
        </w:rPr>
        <w:t>聚焦</w:t>
      </w:r>
      <w:r>
        <w:rPr>
          <w:rFonts w:hint="eastAsia" w:ascii="宋体" w:hAnsi="宋体" w:eastAsia="宋体" w:cs="宋体"/>
          <w:sz w:val="24"/>
          <w:szCs w:val="24"/>
          <w:lang w:val="en-US" w:eastAsia="zh-CN"/>
        </w:rPr>
        <w:t>福建省市场监管局日常</w:t>
      </w:r>
      <w:r>
        <w:rPr>
          <w:rFonts w:ascii="宋体" w:hAnsi="宋体" w:eastAsia="宋体" w:cs="宋体"/>
          <w:sz w:val="24"/>
          <w:szCs w:val="24"/>
        </w:rPr>
        <w:t>办公业务</w:t>
      </w:r>
      <w:r>
        <w:rPr>
          <w:rFonts w:hint="eastAsia" w:ascii="宋体" w:hAnsi="宋体" w:eastAsia="宋体" w:cs="宋体"/>
          <w:sz w:val="24"/>
          <w:szCs w:val="24"/>
          <w:lang w:val="en-US" w:eastAsia="zh-CN"/>
        </w:rPr>
        <w:t>需求</w:t>
      </w:r>
      <w:r>
        <w:rPr>
          <w:rFonts w:ascii="宋体" w:hAnsi="宋体" w:eastAsia="宋体" w:cs="宋体"/>
          <w:sz w:val="24"/>
          <w:szCs w:val="24"/>
        </w:rPr>
        <w:t>，完善平台</w:t>
      </w:r>
      <w:r>
        <w:rPr>
          <w:rFonts w:hint="eastAsia" w:ascii="宋体" w:hAnsi="宋体" w:eastAsia="宋体" w:cs="宋体"/>
          <w:sz w:val="24"/>
          <w:szCs w:val="24"/>
          <w:lang w:val="en-US" w:eastAsia="zh-CN"/>
        </w:rPr>
        <w:t>办公业务支撑</w:t>
      </w:r>
      <w:r>
        <w:rPr>
          <w:rFonts w:ascii="宋体" w:hAnsi="宋体" w:eastAsia="宋体" w:cs="宋体"/>
          <w:sz w:val="24"/>
          <w:szCs w:val="24"/>
        </w:rPr>
        <w:t>能力，具体涵盖督查督办功能优化、会议管理消息推送、领导签批件阅办管理、业务流程优化四项内容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并配套人员提供驻点</w:t>
      </w:r>
      <w:bookmarkStart w:id="0" w:name="_GoBack"/>
      <w:bookmarkEnd w:id="0"/>
      <w:r>
        <w:rPr>
          <w:rFonts w:hint="eastAsia" w:ascii="宋体" w:hAnsi="宋体" w:eastAsia="宋体" w:cs="宋体"/>
          <w:sz w:val="24"/>
          <w:szCs w:val="24"/>
          <w:lang w:val="en-US" w:eastAsia="zh-CN"/>
        </w:rPr>
        <w:t>服务，</w:t>
      </w:r>
      <w:r>
        <w:rPr>
          <w:rFonts w:ascii="宋体" w:hAnsi="宋体" w:eastAsia="宋体" w:cs="宋体"/>
          <w:sz w:val="24"/>
          <w:szCs w:val="24"/>
        </w:rPr>
        <w:t>保障各项办公业务高效运转</w:t>
      </w:r>
      <w:r>
        <w:rPr>
          <w:rFonts w:hint="eastAsia" w:ascii="宋体" w:hAnsi="宋体" w:eastAsia="宋体"/>
          <w:szCs w:val="24"/>
        </w:rPr>
        <w:t>。</w:t>
      </w:r>
    </w:p>
    <w:p w14:paraId="78324D05">
      <w:pPr>
        <w:spacing w:line="360" w:lineRule="auto"/>
        <w:rPr>
          <w:rFonts w:hint="eastAsia"/>
          <w:sz w:val="32"/>
          <w:szCs w:val="32"/>
        </w:rPr>
      </w:pPr>
      <w:r>
        <w:rPr>
          <w:rFonts w:ascii="黑体" w:hAnsi="黑体" w:eastAsia="黑体"/>
          <w:sz w:val="32"/>
          <w:szCs w:val="32"/>
        </w:rPr>
        <w:t>二、需求内容及分项报价</w:t>
      </w:r>
    </w:p>
    <w:p w14:paraId="3CC1B8B8">
      <w:pPr>
        <w:spacing w:line="360" w:lineRule="auto"/>
        <w:rPr>
          <w:rFonts w:hint="eastAsia" w:ascii="宋体" w:hAnsi="宋体" w:eastAsia="宋体"/>
          <w:sz w:val="32"/>
          <w:szCs w:val="32"/>
        </w:rPr>
      </w:pPr>
      <w:r>
        <w:rPr>
          <w:rFonts w:hint="eastAsia" w:ascii="宋体" w:hAnsi="宋体" w:eastAsia="宋体"/>
          <w:b/>
          <w:sz w:val="32"/>
          <w:szCs w:val="32"/>
        </w:rPr>
        <w:t>1、</w:t>
      </w:r>
      <w:r>
        <w:rPr>
          <w:rFonts w:ascii="宋体" w:hAnsi="宋体" w:eastAsia="宋体"/>
          <w:b/>
          <w:sz w:val="32"/>
          <w:szCs w:val="32"/>
        </w:rPr>
        <w:t>督查督办功能优化服务报价</w:t>
      </w:r>
    </w:p>
    <w:tbl>
      <w:tblPr>
        <w:tblStyle w:val="8"/>
        <w:tblW w:w="8440" w:type="dxa"/>
        <w:tblInd w:w="-5" w:type="dxa"/>
        <w:tblBorders>
          <w:top w:val="double" w:color="auto" w:sz="4" w:space="0"/>
          <w:left w:val="double" w:color="auto" w:sz="4" w:space="0"/>
          <w:bottom w:val="double" w:color="auto" w:sz="4" w:space="0"/>
          <w:right w:val="doub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99"/>
        <w:gridCol w:w="1701"/>
        <w:gridCol w:w="4820"/>
        <w:gridCol w:w="1220"/>
      </w:tblGrid>
      <w:tr w14:paraId="10C79486">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rPr>
          <w:trHeight w:val="560" w:hRule="atLeast"/>
          <w:tblHeader/>
        </w:trPr>
        <w:tc>
          <w:tcPr>
            <w:tcW w:w="699" w:type="dxa"/>
            <w:tcBorders>
              <w:bottom w:val="single" w:color="auto" w:sz="4" w:space="0"/>
              <w:right w:val="single" w:color="auto" w:sz="4" w:space="0"/>
            </w:tcBorders>
            <w:shd w:val="clear" w:color="000000" w:fill="D9D9D9"/>
            <w:noWrap/>
            <w:vAlign w:val="center"/>
          </w:tcPr>
          <w:p w14:paraId="1EFB00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tcBorders>
              <w:left w:val="single" w:color="auto" w:sz="4" w:space="0"/>
              <w:bottom w:val="single" w:color="auto" w:sz="4" w:space="0"/>
              <w:right w:val="single" w:color="auto" w:sz="4" w:space="0"/>
            </w:tcBorders>
            <w:shd w:val="clear" w:color="000000" w:fill="D9D9D9"/>
            <w:vAlign w:val="center"/>
          </w:tcPr>
          <w:p w14:paraId="1E4A25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tcBorders>
              <w:left w:val="single" w:color="auto" w:sz="4" w:space="0"/>
              <w:bottom w:val="single" w:color="auto" w:sz="4" w:space="0"/>
              <w:right w:val="single" w:color="auto" w:sz="4" w:space="0"/>
            </w:tcBorders>
            <w:shd w:val="clear" w:color="000000" w:fill="D9D9D9"/>
            <w:noWrap/>
            <w:vAlign w:val="center"/>
          </w:tcPr>
          <w:p w14:paraId="1D8FD2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tcBorders>
              <w:left w:val="single" w:color="auto" w:sz="4" w:space="0"/>
              <w:bottom w:val="single" w:color="auto" w:sz="4" w:space="0"/>
            </w:tcBorders>
            <w:shd w:val="clear" w:color="000000" w:fill="D9D9D9"/>
            <w:vAlign w:val="center"/>
          </w:tcPr>
          <w:p w14:paraId="317C83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679F1C22">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6DA056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1.1</w:t>
            </w:r>
          </w:p>
        </w:tc>
        <w:tc>
          <w:tcPr>
            <w:tcW w:w="1701" w:type="dxa"/>
            <w:tcBorders>
              <w:top w:val="single" w:color="auto" w:sz="4" w:space="0"/>
              <w:left w:val="single" w:color="auto" w:sz="4" w:space="0"/>
              <w:bottom w:val="single" w:color="auto" w:sz="4" w:space="0"/>
              <w:right w:val="single" w:color="auto" w:sz="4" w:space="0"/>
            </w:tcBorders>
            <w:vAlign w:val="center"/>
          </w:tcPr>
          <w:p w14:paraId="3B175B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督办任务一键导出</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0A0F1B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eastAsia="zh-CN"/>
              </w:rPr>
            </w:pPr>
            <w:r>
              <w:rPr>
                <w:rFonts w:hint="eastAsia" w:cs="宋体" w:asciiTheme="minorEastAsia" w:hAnsiTheme="minorEastAsia" w:eastAsiaTheme="minorEastAsia"/>
                <w:color w:val="0F1115"/>
                <w:kern w:val="0"/>
                <w:szCs w:val="24"/>
              </w:rPr>
              <w:t>提供单条、多条及全部任务批量导出服务，导出字段包括任务标题、任务描述、任务标签、主办处室、协办处室、办理人等</w:t>
            </w:r>
            <w:r>
              <w:rPr>
                <w:rFonts w:hint="eastAsia" w:cs="宋体" w:asciiTheme="minorEastAsia" w:hAnsiTheme="minorEastAsia" w:eastAsiaTheme="minorEastAsia"/>
                <w:color w:val="0F1115"/>
                <w:kern w:val="0"/>
                <w:szCs w:val="24"/>
                <w:lang w:eastAsia="zh-CN"/>
              </w:rPr>
              <w:t>。</w:t>
            </w:r>
          </w:p>
        </w:tc>
        <w:tc>
          <w:tcPr>
            <w:tcW w:w="1220" w:type="dxa"/>
            <w:tcBorders>
              <w:top w:val="single" w:color="auto" w:sz="4" w:space="0"/>
              <w:left w:val="single" w:color="auto" w:sz="4" w:space="0"/>
              <w:bottom w:val="single" w:color="auto" w:sz="4" w:space="0"/>
            </w:tcBorders>
            <w:vAlign w:val="center"/>
          </w:tcPr>
          <w:p w14:paraId="00A8D279">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3A3C01E8">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5E073C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1.2</w:t>
            </w:r>
          </w:p>
        </w:tc>
        <w:tc>
          <w:tcPr>
            <w:tcW w:w="1701" w:type="dxa"/>
            <w:tcBorders>
              <w:top w:val="single" w:color="auto" w:sz="4" w:space="0"/>
              <w:left w:val="single" w:color="auto" w:sz="4" w:space="0"/>
              <w:bottom w:val="single" w:color="auto" w:sz="4" w:space="0"/>
              <w:right w:val="single" w:color="auto" w:sz="4" w:space="0"/>
            </w:tcBorders>
            <w:vAlign w:val="center"/>
          </w:tcPr>
          <w:p w14:paraId="56B006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优化反馈汇总展示</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39EE94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eastAsia="zh-CN"/>
              </w:rPr>
            </w:pPr>
            <w:r>
              <w:rPr>
                <w:rFonts w:hint="eastAsia" w:cs="宋体" w:asciiTheme="minorEastAsia" w:hAnsiTheme="minorEastAsia" w:eastAsiaTheme="minorEastAsia"/>
                <w:color w:val="0F1115"/>
                <w:kern w:val="0"/>
                <w:szCs w:val="24"/>
                <w:lang w:val="en-US" w:eastAsia="zh-CN"/>
              </w:rPr>
              <w:t>支持</w:t>
            </w:r>
            <w:r>
              <w:rPr>
                <w:rFonts w:hint="eastAsia" w:cs="宋体" w:asciiTheme="minorEastAsia" w:hAnsiTheme="minorEastAsia" w:eastAsiaTheme="minorEastAsia"/>
                <w:color w:val="0F1115"/>
                <w:kern w:val="0"/>
                <w:szCs w:val="24"/>
              </w:rPr>
              <w:t>反馈汇总页面展示最终反馈内容、最终反馈附件、最终提交人、最终提交时间、最终办理处室等信息</w:t>
            </w:r>
            <w:r>
              <w:rPr>
                <w:rFonts w:hint="eastAsia" w:cs="宋体" w:asciiTheme="minorEastAsia" w:hAnsiTheme="minorEastAsia" w:eastAsiaTheme="minorEastAsia"/>
                <w:color w:val="0F1115"/>
                <w:kern w:val="0"/>
                <w:szCs w:val="24"/>
                <w:lang w:eastAsia="zh-CN"/>
              </w:rPr>
              <w:t>。</w:t>
            </w:r>
            <w:r>
              <w:rPr>
                <w:rFonts w:hint="eastAsia" w:cs="宋体" w:asciiTheme="minorEastAsia" w:hAnsiTheme="minorEastAsia" w:eastAsiaTheme="minorEastAsia"/>
                <w:color w:val="0F1115"/>
                <w:kern w:val="0"/>
                <w:szCs w:val="24"/>
              </w:rPr>
              <w:t>针对同一节点多次反馈场景，仅保留最新一次提交数据</w:t>
            </w:r>
            <w:r>
              <w:rPr>
                <w:rFonts w:hint="eastAsia" w:cs="宋体" w:asciiTheme="minorEastAsia" w:hAnsiTheme="minorEastAsia" w:eastAsiaTheme="minorEastAsia"/>
                <w:color w:val="0F1115"/>
                <w:kern w:val="0"/>
                <w:szCs w:val="24"/>
                <w:lang w:eastAsia="zh-CN"/>
              </w:rPr>
              <w:t>。</w:t>
            </w:r>
          </w:p>
        </w:tc>
        <w:tc>
          <w:tcPr>
            <w:tcW w:w="1220" w:type="dxa"/>
            <w:tcBorders>
              <w:top w:val="single" w:color="auto" w:sz="4" w:space="0"/>
              <w:left w:val="single" w:color="auto" w:sz="4" w:space="0"/>
              <w:bottom w:val="single" w:color="auto" w:sz="4" w:space="0"/>
            </w:tcBorders>
            <w:vAlign w:val="center"/>
          </w:tcPr>
          <w:p w14:paraId="10B2E65C">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3D579729">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2B21FA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1.3</w:t>
            </w:r>
          </w:p>
        </w:tc>
        <w:tc>
          <w:tcPr>
            <w:tcW w:w="1701" w:type="dxa"/>
            <w:tcBorders>
              <w:top w:val="single" w:color="auto" w:sz="4" w:space="0"/>
              <w:left w:val="single" w:color="auto" w:sz="4" w:space="0"/>
              <w:bottom w:val="single" w:color="auto" w:sz="4" w:space="0"/>
              <w:right w:val="single" w:color="auto" w:sz="4" w:space="0"/>
            </w:tcBorders>
            <w:vAlign w:val="center"/>
          </w:tcPr>
          <w:p w14:paraId="519D46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已发布任务修改权限</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19A989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支持</w:t>
            </w:r>
            <w:r>
              <w:rPr>
                <w:rFonts w:hint="eastAsia" w:cs="宋体" w:asciiTheme="minorEastAsia" w:hAnsiTheme="minorEastAsia" w:eastAsiaTheme="minorEastAsia"/>
                <w:color w:val="0F1115"/>
                <w:kern w:val="0"/>
                <w:szCs w:val="24"/>
              </w:rPr>
              <w:t>任务发布人在权限范围内对已发布、已生成反馈节点的任务进行编辑调整，修改范围包括标题、描述、标签、办理要求、节点时间、责任处室及办理人等，并同步更新待办、提醒及汇总数据。</w:t>
            </w:r>
          </w:p>
        </w:tc>
        <w:tc>
          <w:tcPr>
            <w:tcW w:w="1220" w:type="dxa"/>
            <w:tcBorders>
              <w:top w:val="single" w:color="auto" w:sz="4" w:space="0"/>
              <w:left w:val="single" w:color="auto" w:sz="4" w:space="0"/>
              <w:bottom w:val="single" w:color="auto" w:sz="4" w:space="0"/>
            </w:tcBorders>
            <w:vAlign w:val="center"/>
          </w:tcPr>
          <w:p w14:paraId="1816CA32">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401A5C96">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644EE6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1.4</w:t>
            </w:r>
          </w:p>
        </w:tc>
        <w:tc>
          <w:tcPr>
            <w:tcW w:w="1701" w:type="dxa"/>
            <w:tcBorders>
              <w:top w:val="single" w:color="auto" w:sz="4" w:space="0"/>
              <w:left w:val="single" w:color="auto" w:sz="4" w:space="0"/>
              <w:bottom w:val="single" w:color="auto" w:sz="4" w:space="0"/>
              <w:right w:val="single" w:color="auto" w:sz="4" w:space="0"/>
            </w:tcBorders>
            <w:vAlign w:val="center"/>
          </w:tcPr>
          <w:p w14:paraId="41E0FD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首页督查任务双入口展示</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6F69F7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支持</w:t>
            </w:r>
            <w:r>
              <w:rPr>
                <w:rFonts w:hint="eastAsia" w:cs="宋体" w:asciiTheme="minorEastAsia" w:hAnsiTheme="minorEastAsia" w:eastAsiaTheme="minorEastAsia"/>
                <w:color w:val="0F1115"/>
                <w:kern w:val="0"/>
                <w:szCs w:val="24"/>
              </w:rPr>
              <w:t>督查督办类待办任务在首页通用“其他待办”列表和专属“督查督办”模块同步展示，任务完成或撤销后两处状态同步更新，并标识为“督查任务”。</w:t>
            </w:r>
          </w:p>
        </w:tc>
        <w:tc>
          <w:tcPr>
            <w:tcW w:w="1220" w:type="dxa"/>
            <w:tcBorders>
              <w:top w:val="single" w:color="auto" w:sz="4" w:space="0"/>
              <w:left w:val="single" w:color="auto" w:sz="4" w:space="0"/>
              <w:bottom w:val="single" w:color="auto" w:sz="4" w:space="0"/>
            </w:tcBorders>
            <w:vAlign w:val="center"/>
          </w:tcPr>
          <w:p w14:paraId="4F425DEE">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4F4D6234">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4E5EBA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1.5</w:t>
            </w:r>
          </w:p>
        </w:tc>
        <w:tc>
          <w:tcPr>
            <w:tcW w:w="1701" w:type="dxa"/>
            <w:tcBorders>
              <w:top w:val="single" w:color="auto" w:sz="4" w:space="0"/>
              <w:left w:val="single" w:color="auto" w:sz="4" w:space="0"/>
              <w:bottom w:val="single" w:color="auto" w:sz="4" w:space="0"/>
              <w:right w:val="single" w:color="auto" w:sz="4" w:space="0"/>
            </w:tcBorders>
            <w:vAlign w:val="center"/>
          </w:tcPr>
          <w:p w14:paraId="231C79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自动提醒与短信催办</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165BCF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提供可配置的自动提醒服务，默认在任务反馈节点到期前3天，通过系统内消息和手机短信向未完成反馈的责任处室负责人发送催办通知，提醒开关和提前天数支持按需配置。</w:t>
            </w:r>
          </w:p>
        </w:tc>
        <w:tc>
          <w:tcPr>
            <w:tcW w:w="1220" w:type="dxa"/>
            <w:tcBorders>
              <w:top w:val="single" w:color="auto" w:sz="4" w:space="0"/>
              <w:left w:val="single" w:color="auto" w:sz="4" w:space="0"/>
              <w:bottom w:val="single" w:color="auto" w:sz="4" w:space="0"/>
            </w:tcBorders>
            <w:vAlign w:val="center"/>
          </w:tcPr>
          <w:p w14:paraId="5B3304D6">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4C7003AC">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66BD44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1.6</w:t>
            </w:r>
          </w:p>
        </w:tc>
        <w:tc>
          <w:tcPr>
            <w:tcW w:w="1701" w:type="dxa"/>
            <w:tcBorders>
              <w:top w:val="single" w:color="auto" w:sz="4" w:space="0"/>
              <w:left w:val="single" w:color="auto" w:sz="4" w:space="0"/>
              <w:bottom w:val="single" w:color="auto" w:sz="4" w:space="0"/>
              <w:right w:val="single" w:color="auto" w:sz="4" w:space="0"/>
            </w:tcBorders>
            <w:vAlign w:val="center"/>
          </w:tcPr>
          <w:p w14:paraId="05F114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多处室独立节点反馈</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0C9A78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支持一个督查任务绑定多个责任处室，并为每个处室生成独立反馈节点。各处室节点名称、办理人、截止时间、反馈内容、附件及状态相互隔离，任务总状态根据所有节点完成情况自动汇总。</w:t>
            </w:r>
          </w:p>
        </w:tc>
        <w:tc>
          <w:tcPr>
            <w:tcW w:w="1220" w:type="dxa"/>
            <w:tcBorders>
              <w:top w:val="single" w:color="auto" w:sz="4" w:space="0"/>
              <w:left w:val="single" w:color="auto" w:sz="4" w:space="0"/>
              <w:bottom w:val="single" w:color="auto" w:sz="4" w:space="0"/>
            </w:tcBorders>
            <w:vAlign w:val="center"/>
          </w:tcPr>
          <w:p w14:paraId="1D11BC42">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76BF0055">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0049B3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1.7</w:t>
            </w:r>
          </w:p>
        </w:tc>
        <w:tc>
          <w:tcPr>
            <w:tcW w:w="1701" w:type="dxa"/>
            <w:tcBorders>
              <w:top w:val="single" w:color="auto" w:sz="4" w:space="0"/>
              <w:left w:val="single" w:color="auto" w:sz="4" w:space="0"/>
              <w:bottom w:val="single" w:color="auto" w:sz="4" w:space="0"/>
              <w:right w:val="single" w:color="auto" w:sz="4" w:space="0"/>
            </w:tcBorders>
            <w:vAlign w:val="center"/>
          </w:tcPr>
          <w:p w14:paraId="266CA3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优化督办按钮操作体验</w:t>
            </w:r>
            <w:r>
              <w:rPr>
                <w:rFonts w:hint="eastAsia" w:cs="宋体" w:asciiTheme="minorEastAsia" w:hAnsiTheme="minorEastAsia" w:eastAsiaTheme="minorEastAsia"/>
                <w:color w:val="0F1115"/>
                <w:kern w:val="0"/>
                <w:szCs w:val="24"/>
                <w:lang w:val="en-US" w:eastAsia="zh-CN"/>
              </w:rPr>
              <w:t>服务</w:t>
            </w:r>
          </w:p>
        </w:tc>
        <w:tc>
          <w:tcPr>
            <w:tcW w:w="4820" w:type="dxa"/>
            <w:tcBorders>
              <w:top w:val="single" w:color="auto" w:sz="4" w:space="0"/>
              <w:left w:val="single" w:color="auto" w:sz="4" w:space="0"/>
              <w:bottom w:val="single" w:color="auto" w:sz="4" w:space="0"/>
              <w:right w:val="single" w:color="auto" w:sz="4" w:space="0"/>
            </w:tcBorders>
            <w:vAlign w:val="center"/>
          </w:tcPr>
          <w:p w14:paraId="30DA04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统一优化督查督办相关按钮样式、位置、交互体验和显示逻辑</w:t>
            </w:r>
            <w:r>
              <w:rPr>
                <w:rFonts w:hint="eastAsia" w:cs="宋体" w:asciiTheme="minorEastAsia" w:hAnsiTheme="minorEastAsia" w:eastAsiaTheme="minorEastAsia"/>
                <w:color w:val="0F1115"/>
                <w:kern w:val="0"/>
                <w:szCs w:val="24"/>
                <w:lang w:val="en-US" w:eastAsia="zh-CN"/>
              </w:rPr>
              <w:t>服务</w:t>
            </w:r>
            <w:r>
              <w:rPr>
                <w:rFonts w:hint="eastAsia" w:cs="宋体" w:asciiTheme="minorEastAsia" w:hAnsiTheme="minorEastAsia" w:eastAsiaTheme="minorEastAsia"/>
                <w:color w:val="0F1115"/>
                <w:kern w:val="0"/>
                <w:szCs w:val="24"/>
              </w:rPr>
              <w:t>，</w:t>
            </w:r>
            <w:r>
              <w:rPr>
                <w:rFonts w:hint="eastAsia" w:cs="宋体" w:asciiTheme="minorEastAsia" w:hAnsiTheme="minorEastAsia" w:eastAsiaTheme="minorEastAsia"/>
                <w:color w:val="0F1115"/>
                <w:kern w:val="0"/>
                <w:szCs w:val="24"/>
                <w:lang w:val="en-US" w:eastAsia="zh-CN"/>
              </w:rPr>
              <w:t>以提升用户操作体验</w:t>
            </w:r>
            <w:r>
              <w:rPr>
                <w:rFonts w:hint="eastAsia" w:cs="宋体" w:asciiTheme="minorEastAsia" w:hAnsiTheme="minorEastAsia" w:eastAsiaTheme="minorEastAsia"/>
                <w:color w:val="0F1115"/>
                <w:kern w:val="0"/>
                <w:szCs w:val="24"/>
              </w:rPr>
              <w:t>。</w:t>
            </w:r>
          </w:p>
        </w:tc>
        <w:tc>
          <w:tcPr>
            <w:tcW w:w="1220" w:type="dxa"/>
            <w:tcBorders>
              <w:top w:val="single" w:color="auto" w:sz="4" w:space="0"/>
              <w:left w:val="single" w:color="auto" w:sz="4" w:space="0"/>
              <w:bottom w:val="single" w:color="auto" w:sz="4" w:space="0"/>
            </w:tcBorders>
            <w:vAlign w:val="center"/>
          </w:tcPr>
          <w:p w14:paraId="36DA7B75">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0F6AB6EC">
        <w:tblPrEx>
          <w:tblBorders>
            <w:top w:val="double" w:color="auto" w:sz="4" w:space="0"/>
            <w:left w:val="double" w:color="auto" w:sz="4" w:space="0"/>
            <w:bottom w:val="double" w:color="auto" w:sz="4" w:space="0"/>
            <w:right w:val="double" w:color="auto" w:sz="4" w:space="0"/>
            <w:insideH w:val="none" w:color="auto" w:sz="4" w:space="0"/>
            <w:insideV w:val="none" w:color="auto" w:sz="4" w:space="0"/>
          </w:tblBorders>
          <w:tblCellMar>
            <w:top w:w="0" w:type="dxa"/>
            <w:left w:w="108" w:type="dxa"/>
            <w:bottom w:w="0" w:type="dxa"/>
            <w:right w:w="108" w:type="dxa"/>
          </w:tblCellMar>
        </w:tblPrEx>
        <w:tc>
          <w:tcPr>
            <w:tcW w:w="7220" w:type="dxa"/>
            <w:gridSpan w:val="3"/>
            <w:tcBorders>
              <w:top w:val="single" w:color="auto" w:sz="4" w:space="0"/>
              <w:right w:val="single" w:color="auto" w:sz="4" w:space="0"/>
            </w:tcBorders>
            <w:shd w:val="clear" w:color="auto" w:fill="D7D7D7" w:themeFill="background1" w:themeFillShade="D8"/>
            <w:vAlign w:val="center"/>
          </w:tcPr>
          <w:p w14:paraId="6C551429">
            <w:pPr>
              <w:spacing w:line="360" w:lineRule="auto"/>
              <w:jc w:val="center"/>
              <w:rPr>
                <w:rFonts w:hint="eastAsia" w:asciiTheme="minorEastAsia" w:hAnsiTheme="minorEastAsia" w:eastAsiaTheme="minorEastAsia"/>
                <w:szCs w:val="24"/>
                <w:lang w:val="en-US" w:eastAsia="zh-CN"/>
              </w:rPr>
            </w:pPr>
            <w:r>
              <w:rPr>
                <w:rFonts w:hint="eastAsia" w:asciiTheme="minorEastAsia" w:hAnsiTheme="minorEastAsia" w:eastAsiaTheme="minorEastAsia"/>
                <w:b/>
                <w:bCs/>
                <w:szCs w:val="24"/>
                <w:lang w:val="en-US" w:eastAsia="zh-CN"/>
              </w:rPr>
              <w:t>合计</w:t>
            </w:r>
          </w:p>
        </w:tc>
        <w:tc>
          <w:tcPr>
            <w:tcW w:w="1220" w:type="dxa"/>
            <w:tcBorders>
              <w:top w:val="single" w:color="auto" w:sz="4" w:space="0"/>
              <w:left w:val="single" w:color="auto" w:sz="4" w:space="0"/>
            </w:tcBorders>
            <w:vAlign w:val="center"/>
          </w:tcPr>
          <w:p w14:paraId="16F350AD">
            <w:pPr>
              <w:keepNext w:val="0"/>
              <w:keepLines w:val="0"/>
              <w:widowControl/>
              <w:suppressLineNumbers w:val="0"/>
              <w:jc w:val="left"/>
              <w:textAlignment w:val="center"/>
              <w:rPr>
                <w:rFonts w:hint="eastAsia" w:asciiTheme="minorEastAsia" w:hAnsiTheme="minorEastAsia" w:eastAsiaTheme="minorEastAsia"/>
                <w:szCs w:val="24"/>
              </w:rPr>
            </w:pPr>
          </w:p>
        </w:tc>
      </w:tr>
    </w:tbl>
    <w:p w14:paraId="0BF82672">
      <w:pPr>
        <w:spacing w:line="360" w:lineRule="auto"/>
        <w:rPr>
          <w:rFonts w:hint="eastAsia" w:ascii="宋体" w:hAnsi="宋体" w:eastAsia="宋体"/>
          <w:sz w:val="32"/>
          <w:szCs w:val="32"/>
        </w:rPr>
      </w:pPr>
      <w:r>
        <w:rPr>
          <w:rFonts w:hint="eastAsia" w:ascii="宋体" w:hAnsi="宋体" w:eastAsia="宋体"/>
          <w:b/>
          <w:sz w:val="32"/>
          <w:szCs w:val="32"/>
        </w:rPr>
        <w:t>2、</w:t>
      </w:r>
      <w:r>
        <w:rPr>
          <w:rFonts w:ascii="宋体" w:hAnsi="宋体" w:eastAsia="宋体"/>
          <w:b/>
          <w:sz w:val="32"/>
          <w:szCs w:val="32"/>
        </w:rPr>
        <w:t>会议管理系统通知服务报价</w:t>
      </w:r>
    </w:p>
    <w:tbl>
      <w:tblPr>
        <w:tblStyle w:val="8"/>
        <w:tblW w:w="8440"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01"/>
        <w:gridCol w:w="4820"/>
        <w:gridCol w:w="1220"/>
      </w:tblGrid>
      <w:tr w14:paraId="423CB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699" w:type="dxa"/>
            <w:shd w:val="clear" w:color="000000" w:fill="D9D9D9"/>
            <w:noWrap/>
            <w:vAlign w:val="center"/>
          </w:tcPr>
          <w:p w14:paraId="18DFA4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shd w:val="clear" w:color="000000" w:fill="D9D9D9"/>
            <w:vAlign w:val="center"/>
          </w:tcPr>
          <w:p w14:paraId="50679B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shd w:val="clear" w:color="000000" w:fill="D9D9D9"/>
            <w:noWrap/>
            <w:vAlign w:val="center"/>
          </w:tcPr>
          <w:p w14:paraId="709276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shd w:val="clear" w:color="000000" w:fill="D9D9D9"/>
            <w:vAlign w:val="center"/>
          </w:tcPr>
          <w:p w14:paraId="101D79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11D73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BFDB2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2.1</w:t>
            </w:r>
          </w:p>
        </w:tc>
        <w:tc>
          <w:tcPr>
            <w:tcW w:w="1701" w:type="dxa"/>
            <w:vAlign w:val="center"/>
          </w:tcPr>
          <w:p w14:paraId="5EB3AE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lang w:val="en-US" w:eastAsia="zh-CN"/>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会务通知提醒优化</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2E46FF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支持</w:t>
            </w:r>
            <w:r>
              <w:rPr>
                <w:rFonts w:hint="eastAsia" w:cs="宋体" w:asciiTheme="minorEastAsia" w:hAnsiTheme="minorEastAsia" w:eastAsiaTheme="minorEastAsia"/>
                <w:color w:val="0F1115"/>
                <w:kern w:val="0"/>
                <w:szCs w:val="24"/>
              </w:rPr>
              <w:t>优化会议通知发布逻辑，合并会议信息填报与参会人员确认步骤，在填报会议基本信息时同步确认参会范围。短信通知内容支持自定义，并可按参会人员批量或单独定向发送。</w:t>
            </w:r>
          </w:p>
        </w:tc>
        <w:tc>
          <w:tcPr>
            <w:tcW w:w="1220" w:type="dxa"/>
            <w:vAlign w:val="center"/>
          </w:tcPr>
          <w:p w14:paraId="74B2FE6B">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15688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92FDE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2.2</w:t>
            </w:r>
          </w:p>
        </w:tc>
        <w:tc>
          <w:tcPr>
            <w:tcW w:w="1701" w:type="dxa"/>
            <w:vAlign w:val="center"/>
          </w:tcPr>
          <w:p w14:paraId="0C65D7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参会人员回执状态统计</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39FEFC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实时统计参会人员反馈状态并支持一键导出参会名单</w:t>
            </w:r>
            <w:r>
              <w:rPr>
                <w:rFonts w:hint="eastAsia" w:cs="宋体" w:asciiTheme="minorEastAsia" w:hAnsiTheme="minorEastAsia" w:eastAsiaTheme="minorEastAsia"/>
                <w:color w:val="0F1115"/>
                <w:kern w:val="0"/>
                <w:szCs w:val="24"/>
                <w:lang w:val="en-US" w:eastAsia="zh-CN"/>
              </w:rPr>
              <w:t>服务</w:t>
            </w:r>
            <w:r>
              <w:rPr>
                <w:rFonts w:hint="eastAsia" w:cs="宋体" w:asciiTheme="minorEastAsia" w:hAnsiTheme="minorEastAsia" w:eastAsiaTheme="minorEastAsia"/>
                <w:color w:val="0F1115"/>
                <w:kern w:val="0"/>
                <w:szCs w:val="24"/>
              </w:rPr>
              <w:t>。回执反馈提供“确认参会”和“不参会”必选项，选择“不参会”时需录入请假原因或指派替会人员。</w:t>
            </w:r>
          </w:p>
        </w:tc>
        <w:tc>
          <w:tcPr>
            <w:tcW w:w="1220" w:type="dxa"/>
            <w:vAlign w:val="center"/>
          </w:tcPr>
          <w:p w14:paraId="06195898">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26F1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59FCA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2.3</w:t>
            </w:r>
          </w:p>
        </w:tc>
        <w:tc>
          <w:tcPr>
            <w:tcW w:w="1701" w:type="dxa"/>
            <w:vAlign w:val="center"/>
          </w:tcPr>
          <w:p w14:paraId="3E21FB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催办提醒</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38B138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针对未读、未反馈回执人员，提供定时催办策略配置服务，例如会前一定时间仍未反馈的，可触发短信强提醒。</w:t>
            </w:r>
          </w:p>
        </w:tc>
        <w:tc>
          <w:tcPr>
            <w:tcW w:w="1220" w:type="dxa"/>
            <w:vAlign w:val="center"/>
          </w:tcPr>
          <w:p w14:paraId="01C2BDA1">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1C162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0" w:type="dxa"/>
            <w:gridSpan w:val="3"/>
            <w:shd w:val="clear" w:color="auto" w:fill="D7D7D7" w:themeFill="background1" w:themeFillShade="D8"/>
            <w:vAlign w:val="center"/>
          </w:tcPr>
          <w:p w14:paraId="0B05CFC4">
            <w:pPr>
              <w:spacing w:line="360" w:lineRule="auto"/>
              <w:jc w:val="center"/>
              <w:rPr>
                <w:rFonts w:hint="eastAsia" w:asciiTheme="minorEastAsia" w:hAnsiTheme="minorEastAsia" w:eastAsiaTheme="minorEastAsia"/>
                <w:b/>
                <w:bCs/>
                <w:szCs w:val="24"/>
                <w:lang w:val="en-US" w:eastAsia="zh-CN"/>
              </w:rPr>
            </w:pPr>
            <w:r>
              <w:rPr>
                <w:rFonts w:hint="eastAsia" w:asciiTheme="minorEastAsia" w:hAnsiTheme="minorEastAsia" w:eastAsiaTheme="minorEastAsia"/>
                <w:b/>
                <w:bCs/>
                <w:szCs w:val="24"/>
                <w:lang w:val="en-US" w:eastAsia="zh-CN"/>
              </w:rPr>
              <w:t>合计</w:t>
            </w:r>
          </w:p>
        </w:tc>
        <w:tc>
          <w:tcPr>
            <w:tcW w:w="1220" w:type="dxa"/>
            <w:vAlign w:val="center"/>
          </w:tcPr>
          <w:p w14:paraId="79005051">
            <w:pPr>
              <w:keepNext w:val="0"/>
              <w:keepLines w:val="0"/>
              <w:widowControl/>
              <w:suppressLineNumbers w:val="0"/>
              <w:jc w:val="both"/>
              <w:textAlignment w:val="center"/>
              <w:rPr>
                <w:rFonts w:hint="eastAsia" w:asciiTheme="minorEastAsia" w:hAnsiTheme="minorEastAsia" w:eastAsiaTheme="minorEastAsia"/>
                <w:szCs w:val="24"/>
              </w:rPr>
            </w:pPr>
          </w:p>
        </w:tc>
      </w:tr>
    </w:tbl>
    <w:p w14:paraId="185D74F8">
      <w:pPr>
        <w:spacing w:line="360" w:lineRule="auto"/>
        <w:rPr>
          <w:rFonts w:hint="eastAsia" w:ascii="宋体" w:hAnsi="宋体" w:eastAsia="宋体"/>
          <w:sz w:val="32"/>
          <w:szCs w:val="32"/>
        </w:rPr>
      </w:pPr>
      <w:r>
        <w:rPr>
          <w:rFonts w:hint="eastAsia" w:ascii="宋体" w:hAnsi="宋体" w:eastAsia="宋体"/>
          <w:b/>
          <w:sz w:val="32"/>
          <w:szCs w:val="32"/>
        </w:rPr>
        <w:t>3、</w:t>
      </w:r>
      <w:r>
        <w:rPr>
          <w:rFonts w:ascii="宋体" w:hAnsi="宋体" w:eastAsia="宋体"/>
          <w:b/>
          <w:sz w:val="32"/>
          <w:szCs w:val="32"/>
        </w:rPr>
        <w:t>领导签批件阅办服务报价</w:t>
      </w:r>
    </w:p>
    <w:tbl>
      <w:tblPr>
        <w:tblStyle w:val="8"/>
        <w:tblW w:w="8440"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01"/>
        <w:gridCol w:w="4820"/>
        <w:gridCol w:w="1220"/>
      </w:tblGrid>
      <w:tr w14:paraId="7675E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699" w:type="dxa"/>
            <w:shd w:val="clear" w:color="000000" w:fill="D9D9D9"/>
            <w:noWrap/>
            <w:vAlign w:val="center"/>
          </w:tcPr>
          <w:p w14:paraId="72CB2B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shd w:val="clear" w:color="000000" w:fill="D9D9D9"/>
            <w:vAlign w:val="center"/>
          </w:tcPr>
          <w:p w14:paraId="282575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shd w:val="clear" w:color="000000" w:fill="D9D9D9"/>
            <w:noWrap/>
            <w:vAlign w:val="center"/>
          </w:tcPr>
          <w:p w14:paraId="1D501A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shd w:val="clear" w:color="000000" w:fill="D9D9D9"/>
            <w:vAlign w:val="center"/>
          </w:tcPr>
          <w:p w14:paraId="640845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5F282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106DE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3.1</w:t>
            </w:r>
          </w:p>
        </w:tc>
        <w:tc>
          <w:tcPr>
            <w:tcW w:w="1701" w:type="dxa"/>
            <w:vAlign w:val="center"/>
          </w:tcPr>
          <w:p w14:paraId="4F8516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在线录入</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3FAF68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支持纸质文件在线录入，可登记文件标题、批示领导、批示日期、附件等信息，形成统一的签批件电子台账。</w:t>
            </w:r>
          </w:p>
        </w:tc>
        <w:tc>
          <w:tcPr>
            <w:tcW w:w="1220" w:type="dxa"/>
            <w:vAlign w:val="center"/>
          </w:tcPr>
          <w:p w14:paraId="47388A8D">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22E1C5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9678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3.2</w:t>
            </w:r>
          </w:p>
        </w:tc>
        <w:tc>
          <w:tcPr>
            <w:tcW w:w="1701" w:type="dxa"/>
            <w:vAlign w:val="center"/>
          </w:tcPr>
          <w:p w14:paraId="24AC2C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状态变更</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7C2478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支持</w:t>
            </w:r>
            <w:r>
              <w:rPr>
                <w:rFonts w:hint="eastAsia" w:cs="宋体" w:asciiTheme="minorEastAsia" w:hAnsiTheme="minorEastAsia" w:eastAsiaTheme="minorEastAsia"/>
                <w:color w:val="0F1115"/>
                <w:kern w:val="0"/>
                <w:szCs w:val="24"/>
              </w:rPr>
              <w:t>自动标注签批件状态，如节点已办、已办结等，并记录状态变更情况，便于经办人员掌握办理进度。</w:t>
            </w:r>
          </w:p>
        </w:tc>
        <w:tc>
          <w:tcPr>
            <w:tcW w:w="1220" w:type="dxa"/>
            <w:vAlign w:val="center"/>
          </w:tcPr>
          <w:p w14:paraId="1E36442A">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5335D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A6147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3.3</w:t>
            </w:r>
          </w:p>
        </w:tc>
        <w:tc>
          <w:tcPr>
            <w:tcW w:w="1701" w:type="dxa"/>
            <w:vAlign w:val="center"/>
          </w:tcPr>
          <w:p w14:paraId="110617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附件管理</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31B2EB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支持批示件扫描PDF附件在线查看、下载、打印；对扫描件不清晰等情况，支持附件替换并保留替换记录。</w:t>
            </w:r>
          </w:p>
        </w:tc>
        <w:tc>
          <w:tcPr>
            <w:tcW w:w="1220" w:type="dxa"/>
            <w:vAlign w:val="center"/>
          </w:tcPr>
          <w:p w14:paraId="3813306F">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33A2F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305E3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3.4</w:t>
            </w:r>
          </w:p>
        </w:tc>
        <w:tc>
          <w:tcPr>
            <w:tcW w:w="1701" w:type="dxa"/>
            <w:vAlign w:val="center"/>
          </w:tcPr>
          <w:p w14:paraId="23EAB9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日志管理</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7EDF36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记录录入、编辑、检索、流转、撤回、附件上传及替换等操作日志，日志内容包括操作人、操作时间、操作内容等，支持后续查询追溯。</w:t>
            </w:r>
          </w:p>
        </w:tc>
        <w:tc>
          <w:tcPr>
            <w:tcW w:w="1220" w:type="dxa"/>
            <w:vAlign w:val="center"/>
          </w:tcPr>
          <w:p w14:paraId="542BE953">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59465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E49C5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3.5</w:t>
            </w:r>
          </w:p>
        </w:tc>
        <w:tc>
          <w:tcPr>
            <w:tcW w:w="1701" w:type="dxa"/>
            <w:vAlign w:val="center"/>
          </w:tcPr>
          <w:p w14:paraId="3F37A0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多维度精准检索</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542832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支持按批示件标题、批示领导、批示日期、批示来源、关键词等单个或组合条件检索，帮助经办人员快速定位目标批示件。</w:t>
            </w:r>
          </w:p>
        </w:tc>
        <w:tc>
          <w:tcPr>
            <w:tcW w:w="1220" w:type="dxa"/>
            <w:vAlign w:val="center"/>
          </w:tcPr>
          <w:p w14:paraId="253765BA">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1C371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A39D4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3.6</w:t>
            </w:r>
          </w:p>
        </w:tc>
        <w:tc>
          <w:tcPr>
            <w:tcW w:w="1701" w:type="dxa"/>
            <w:vAlign w:val="center"/>
          </w:tcPr>
          <w:p w14:paraId="17A0BB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全文检索</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0C450D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支持将批示件纳入全文检索模块，实现对签批件及附件内容的全文检索，提升历史签批件和附件材料查找效率。</w:t>
            </w:r>
          </w:p>
        </w:tc>
        <w:tc>
          <w:tcPr>
            <w:tcW w:w="1220" w:type="dxa"/>
            <w:vAlign w:val="center"/>
          </w:tcPr>
          <w:p w14:paraId="5031A942">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6AB48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89BD0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3.7</w:t>
            </w:r>
          </w:p>
        </w:tc>
        <w:tc>
          <w:tcPr>
            <w:tcW w:w="1701" w:type="dxa"/>
            <w:vAlign w:val="center"/>
          </w:tcPr>
          <w:p w14:paraId="5C99CB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自动归档</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133174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支持签批件全流程办理完结后自动归档，归集办件信息、流转记录、附件材料、操作日志等全量数据。</w:t>
            </w:r>
          </w:p>
        </w:tc>
        <w:tc>
          <w:tcPr>
            <w:tcW w:w="1220" w:type="dxa"/>
            <w:vAlign w:val="center"/>
          </w:tcPr>
          <w:p w14:paraId="6B3EFE73">
            <w:pPr>
              <w:keepNext w:val="0"/>
              <w:keepLines w:val="0"/>
              <w:widowControl/>
              <w:suppressLineNumbers w:val="0"/>
              <w:jc w:val="left"/>
              <w:textAlignment w:val="center"/>
              <w:rPr>
                <w:rFonts w:hint="eastAsia" w:cs="宋体" w:asciiTheme="minorEastAsia" w:hAnsiTheme="minorEastAsia" w:eastAsiaTheme="minorEastAsia"/>
                <w:color w:val="0F1115"/>
                <w:kern w:val="0"/>
                <w:szCs w:val="24"/>
              </w:rPr>
            </w:pPr>
          </w:p>
        </w:tc>
      </w:tr>
      <w:tr w14:paraId="7D1C3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0" w:type="dxa"/>
            <w:gridSpan w:val="3"/>
            <w:shd w:val="clear" w:color="auto" w:fill="D7D7D7" w:themeFill="background1" w:themeFillShade="D8"/>
            <w:vAlign w:val="center"/>
          </w:tcPr>
          <w:p w14:paraId="36C5F362">
            <w:pPr>
              <w:spacing w:line="360" w:lineRule="auto"/>
              <w:jc w:val="center"/>
              <w:rPr>
                <w:rFonts w:hint="eastAsia" w:asciiTheme="minorEastAsia" w:hAnsiTheme="minorEastAsia" w:eastAsiaTheme="minorEastAsia"/>
                <w:b/>
                <w:bCs/>
                <w:szCs w:val="24"/>
                <w:lang w:val="en-US" w:eastAsia="zh-CN"/>
              </w:rPr>
            </w:pPr>
            <w:r>
              <w:rPr>
                <w:rFonts w:hint="eastAsia" w:asciiTheme="minorEastAsia" w:hAnsiTheme="minorEastAsia" w:eastAsiaTheme="minorEastAsia"/>
                <w:b/>
                <w:bCs/>
                <w:szCs w:val="24"/>
                <w:lang w:val="en-US" w:eastAsia="zh-CN"/>
              </w:rPr>
              <w:t>合计</w:t>
            </w:r>
          </w:p>
        </w:tc>
        <w:tc>
          <w:tcPr>
            <w:tcW w:w="1220" w:type="dxa"/>
            <w:vAlign w:val="center"/>
          </w:tcPr>
          <w:p w14:paraId="6316CF51">
            <w:pPr>
              <w:spacing w:line="360" w:lineRule="auto"/>
              <w:rPr>
                <w:rFonts w:hint="default" w:asciiTheme="minorEastAsia" w:hAnsiTheme="minorEastAsia" w:eastAsiaTheme="minorEastAsia"/>
                <w:szCs w:val="24"/>
                <w:lang w:val="en-US" w:eastAsia="zh-CN"/>
              </w:rPr>
            </w:pPr>
          </w:p>
        </w:tc>
      </w:tr>
    </w:tbl>
    <w:p w14:paraId="3DD06E3D">
      <w:pPr>
        <w:spacing w:line="360" w:lineRule="auto"/>
        <w:rPr>
          <w:rFonts w:hint="eastAsia" w:ascii="宋体" w:hAnsi="宋体" w:eastAsia="宋体"/>
          <w:sz w:val="32"/>
          <w:szCs w:val="32"/>
        </w:rPr>
      </w:pPr>
      <w:r>
        <w:rPr>
          <w:rFonts w:hint="eastAsia" w:ascii="宋体" w:hAnsi="宋体" w:eastAsia="宋体"/>
          <w:b/>
          <w:sz w:val="32"/>
          <w:szCs w:val="32"/>
        </w:rPr>
        <w:t>4、</w:t>
      </w:r>
      <w:r>
        <w:rPr>
          <w:rFonts w:ascii="宋体" w:hAnsi="宋体" w:eastAsia="宋体"/>
          <w:b/>
          <w:sz w:val="32"/>
          <w:szCs w:val="32"/>
        </w:rPr>
        <w:t>流程优化服务报价</w:t>
      </w:r>
    </w:p>
    <w:tbl>
      <w:tblPr>
        <w:tblStyle w:val="8"/>
        <w:tblW w:w="8440"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01"/>
        <w:gridCol w:w="4820"/>
        <w:gridCol w:w="1220"/>
      </w:tblGrid>
      <w:tr w14:paraId="7A774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699" w:type="dxa"/>
            <w:shd w:val="clear" w:color="000000" w:fill="D9D9D9"/>
            <w:noWrap/>
            <w:vAlign w:val="center"/>
          </w:tcPr>
          <w:p w14:paraId="316610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shd w:val="clear" w:color="000000" w:fill="D9D9D9"/>
            <w:vAlign w:val="center"/>
          </w:tcPr>
          <w:p w14:paraId="2077BD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shd w:val="clear" w:color="000000" w:fill="D9D9D9"/>
            <w:noWrap/>
            <w:vAlign w:val="center"/>
          </w:tcPr>
          <w:p w14:paraId="17E03F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shd w:val="clear" w:color="000000" w:fill="D9D9D9"/>
            <w:vAlign w:val="center"/>
          </w:tcPr>
          <w:p w14:paraId="1836E4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66764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DB6AD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4.1</w:t>
            </w:r>
          </w:p>
        </w:tc>
        <w:tc>
          <w:tcPr>
            <w:tcW w:w="1701" w:type="dxa"/>
            <w:vAlign w:val="center"/>
          </w:tcPr>
          <w:p w14:paraId="6424DF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发文流程优化</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75B0C43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在发文办理页面增加“纸质意见录入”个性化按钮</w:t>
            </w:r>
            <w:r>
              <w:rPr>
                <w:rFonts w:hint="eastAsia" w:cs="宋体" w:asciiTheme="minorEastAsia" w:hAnsiTheme="minorEastAsia" w:eastAsiaTheme="minorEastAsia"/>
                <w:color w:val="0F1115"/>
                <w:kern w:val="0"/>
                <w:szCs w:val="24"/>
                <w:lang w:val="en-US" w:eastAsia="zh-CN"/>
              </w:rPr>
              <w:t>服务</w:t>
            </w:r>
            <w:r>
              <w:rPr>
                <w:rFonts w:hint="eastAsia" w:cs="宋体" w:asciiTheme="minorEastAsia" w:hAnsiTheme="minorEastAsia" w:eastAsiaTheme="minorEastAsia"/>
                <w:color w:val="0F1115"/>
                <w:kern w:val="0"/>
                <w:szCs w:val="24"/>
              </w:rPr>
              <w:t>，由办公室授权经办人员在权限范围内根据纸质意见进行线上登记；登记完成后按流程规则发送至下一环节，并同步展示在阅办单。</w:t>
            </w:r>
          </w:p>
        </w:tc>
        <w:tc>
          <w:tcPr>
            <w:tcW w:w="1220" w:type="dxa"/>
            <w:vAlign w:val="center"/>
          </w:tcPr>
          <w:p w14:paraId="19658399">
            <w:pPr>
              <w:keepNext w:val="0"/>
              <w:keepLines w:val="0"/>
              <w:widowControl/>
              <w:suppressLineNumbers w:val="0"/>
              <w:jc w:val="left"/>
              <w:textAlignment w:val="center"/>
              <w:rPr>
                <w:rFonts w:hint="default" w:cs="宋体" w:asciiTheme="minorEastAsia" w:hAnsiTheme="minorEastAsia" w:eastAsiaTheme="minorEastAsia"/>
                <w:color w:val="0F1115"/>
                <w:kern w:val="0"/>
                <w:szCs w:val="24"/>
                <w:lang w:val="en-US" w:eastAsia="zh-CN"/>
              </w:rPr>
            </w:pPr>
          </w:p>
        </w:tc>
      </w:tr>
      <w:tr w14:paraId="6C9A5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3BB41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4.2</w:t>
            </w:r>
          </w:p>
        </w:tc>
        <w:tc>
          <w:tcPr>
            <w:tcW w:w="1701" w:type="dxa"/>
            <w:vAlign w:val="center"/>
          </w:tcPr>
          <w:p w14:paraId="21D862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lang w:val="en-US" w:eastAsia="zh-CN"/>
              </w:rPr>
              <w:t>提供</w:t>
            </w:r>
            <w:r>
              <w:rPr>
                <w:rFonts w:hint="eastAsia" w:cs="宋体" w:asciiTheme="minorEastAsia" w:hAnsiTheme="minorEastAsia" w:eastAsiaTheme="minorEastAsia"/>
                <w:color w:val="0F1115"/>
                <w:kern w:val="0"/>
                <w:szCs w:val="24"/>
              </w:rPr>
              <w:t>用品申请流程优化</w:t>
            </w:r>
            <w:r>
              <w:rPr>
                <w:rFonts w:hint="eastAsia" w:cs="宋体" w:asciiTheme="minorEastAsia" w:hAnsiTheme="minorEastAsia" w:eastAsiaTheme="minorEastAsia"/>
                <w:color w:val="0F1115"/>
                <w:kern w:val="0"/>
                <w:szCs w:val="24"/>
                <w:lang w:val="en-US" w:eastAsia="zh-CN"/>
              </w:rPr>
              <w:t>服务</w:t>
            </w:r>
          </w:p>
        </w:tc>
        <w:tc>
          <w:tcPr>
            <w:tcW w:w="4820" w:type="dxa"/>
            <w:vAlign w:val="center"/>
          </w:tcPr>
          <w:p w14:paraId="054449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在现有物品模块基础上提供日常办公用品申请流程</w:t>
            </w:r>
            <w:r>
              <w:rPr>
                <w:rFonts w:hint="eastAsia" w:cs="宋体" w:asciiTheme="minorEastAsia" w:hAnsiTheme="minorEastAsia" w:eastAsiaTheme="minorEastAsia"/>
                <w:color w:val="0F1115"/>
                <w:kern w:val="0"/>
                <w:szCs w:val="24"/>
                <w:lang w:eastAsia="zh-CN"/>
              </w:rPr>
              <w:t>，</w:t>
            </w:r>
            <w:r>
              <w:rPr>
                <w:rFonts w:hint="eastAsia" w:cs="宋体" w:asciiTheme="minorEastAsia" w:hAnsiTheme="minorEastAsia" w:eastAsiaTheme="minorEastAsia"/>
                <w:color w:val="0F1115"/>
                <w:kern w:val="0"/>
                <w:szCs w:val="24"/>
              </w:rPr>
              <w:t>用户可进入申请入口选择所需用品、填写申请数量和用途说明并提交</w:t>
            </w:r>
            <w:r>
              <w:rPr>
                <w:rFonts w:hint="eastAsia" w:cs="宋体" w:asciiTheme="minorEastAsia" w:hAnsiTheme="minorEastAsia" w:eastAsiaTheme="minorEastAsia"/>
                <w:color w:val="0F1115"/>
                <w:kern w:val="0"/>
                <w:szCs w:val="24"/>
                <w:lang w:eastAsia="zh-CN"/>
              </w:rPr>
              <w:t>，</w:t>
            </w:r>
            <w:r>
              <w:rPr>
                <w:rFonts w:hint="eastAsia" w:cs="宋体" w:asciiTheme="minorEastAsia" w:hAnsiTheme="minorEastAsia" w:eastAsiaTheme="minorEastAsia"/>
                <w:color w:val="0F1115"/>
                <w:kern w:val="0"/>
                <w:szCs w:val="24"/>
              </w:rPr>
              <w:t>系统按配置流程流转至相关审核人员办理。</w:t>
            </w:r>
          </w:p>
        </w:tc>
        <w:tc>
          <w:tcPr>
            <w:tcW w:w="1220" w:type="dxa"/>
            <w:vAlign w:val="center"/>
          </w:tcPr>
          <w:p w14:paraId="27C5DC1F">
            <w:pPr>
              <w:keepNext w:val="0"/>
              <w:keepLines w:val="0"/>
              <w:widowControl/>
              <w:suppressLineNumbers w:val="0"/>
              <w:jc w:val="left"/>
              <w:textAlignment w:val="center"/>
              <w:rPr>
                <w:rFonts w:hint="default" w:cs="宋体" w:asciiTheme="minorEastAsia" w:hAnsiTheme="minorEastAsia" w:eastAsiaTheme="minorEastAsia"/>
                <w:color w:val="0F1115"/>
                <w:kern w:val="0"/>
                <w:szCs w:val="24"/>
                <w:lang w:val="en-US" w:eastAsia="zh-CN"/>
              </w:rPr>
            </w:pPr>
          </w:p>
        </w:tc>
      </w:tr>
      <w:tr w14:paraId="1ACAF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0" w:type="dxa"/>
            <w:gridSpan w:val="3"/>
            <w:shd w:val="clear" w:color="auto" w:fill="D7D7D7" w:themeFill="background1" w:themeFillShade="D8"/>
            <w:vAlign w:val="center"/>
          </w:tcPr>
          <w:p w14:paraId="5A3B7058">
            <w:pPr>
              <w:spacing w:line="360" w:lineRule="auto"/>
              <w:jc w:val="center"/>
              <w:rPr>
                <w:rFonts w:hint="eastAsia" w:asciiTheme="minorEastAsia" w:hAnsiTheme="minorEastAsia" w:eastAsiaTheme="minorEastAsia"/>
                <w:szCs w:val="24"/>
                <w:lang w:eastAsia="zh-CN"/>
              </w:rPr>
            </w:pPr>
            <w:r>
              <w:rPr>
                <w:rFonts w:hint="eastAsia" w:asciiTheme="minorEastAsia" w:hAnsiTheme="minorEastAsia" w:eastAsiaTheme="minorEastAsia"/>
                <w:b/>
                <w:bCs/>
                <w:szCs w:val="24"/>
                <w:lang w:val="en-US" w:eastAsia="zh-CN"/>
              </w:rPr>
              <w:t>合计</w:t>
            </w:r>
          </w:p>
        </w:tc>
        <w:tc>
          <w:tcPr>
            <w:tcW w:w="1220" w:type="dxa"/>
            <w:vAlign w:val="center"/>
          </w:tcPr>
          <w:p w14:paraId="3551B64A">
            <w:pPr>
              <w:keepNext w:val="0"/>
              <w:keepLines w:val="0"/>
              <w:widowControl/>
              <w:suppressLineNumbers w:val="0"/>
              <w:jc w:val="both"/>
              <w:textAlignment w:val="center"/>
              <w:rPr>
                <w:rFonts w:hint="eastAsia" w:asciiTheme="minorEastAsia" w:hAnsiTheme="minorEastAsia" w:eastAsiaTheme="minorEastAsia"/>
                <w:szCs w:val="24"/>
              </w:rPr>
            </w:pPr>
          </w:p>
        </w:tc>
      </w:tr>
    </w:tbl>
    <w:p w14:paraId="76B0D289">
      <w:pPr>
        <w:spacing w:line="360" w:lineRule="auto"/>
        <w:rPr>
          <w:rFonts w:hint="eastAsia"/>
          <w:sz w:val="32"/>
          <w:szCs w:val="32"/>
        </w:rPr>
      </w:pPr>
      <w:r>
        <w:rPr>
          <w:rFonts w:ascii="黑体" w:hAnsi="黑体" w:eastAsia="黑体"/>
          <w:sz w:val="32"/>
          <w:szCs w:val="32"/>
        </w:rPr>
        <w:t>三、汇总报价</w:t>
      </w:r>
    </w:p>
    <w:tbl>
      <w:tblPr>
        <w:tblStyle w:val="8"/>
        <w:tblW w:w="0" w:type="auto"/>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832"/>
        <w:gridCol w:w="3240"/>
        <w:gridCol w:w="2539"/>
        <w:gridCol w:w="1681"/>
      </w:tblGrid>
      <w:tr w14:paraId="2A2D4718">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535" w:hRule="atLeast"/>
        </w:trPr>
        <w:tc>
          <w:tcPr>
            <w:tcW w:w="832" w:type="dxa"/>
            <w:vAlign w:val="center"/>
          </w:tcPr>
          <w:p w14:paraId="7889DB1C">
            <w:pPr>
              <w:spacing w:line="360" w:lineRule="auto"/>
              <w:jc w:val="center"/>
              <w:rPr>
                <w:rFonts w:hint="eastAsia" w:asciiTheme="minorEastAsia" w:hAnsiTheme="minorEastAsia" w:eastAsiaTheme="minorEastAsia"/>
              </w:rPr>
            </w:pPr>
            <w:r>
              <w:rPr>
                <w:rFonts w:asciiTheme="minorEastAsia" w:hAnsiTheme="minorEastAsia" w:eastAsiaTheme="minorEastAsia"/>
                <w:b/>
                <w:sz w:val="28"/>
                <w:szCs w:val="28"/>
              </w:rPr>
              <w:t>编号</w:t>
            </w:r>
          </w:p>
        </w:tc>
        <w:tc>
          <w:tcPr>
            <w:tcW w:w="3240" w:type="dxa"/>
            <w:vAlign w:val="center"/>
          </w:tcPr>
          <w:p w14:paraId="5BA7BF6D">
            <w:pPr>
              <w:spacing w:line="360" w:lineRule="auto"/>
              <w:jc w:val="center"/>
              <w:rPr>
                <w:rFonts w:hint="eastAsia" w:asciiTheme="minorEastAsia" w:hAnsiTheme="minorEastAsia" w:eastAsiaTheme="minorEastAsia"/>
              </w:rPr>
            </w:pPr>
            <w:r>
              <w:rPr>
                <w:rFonts w:asciiTheme="minorEastAsia" w:hAnsiTheme="minorEastAsia" w:eastAsiaTheme="minorEastAsia"/>
                <w:b/>
                <w:sz w:val="28"/>
                <w:szCs w:val="28"/>
              </w:rPr>
              <w:t>服务内容</w:t>
            </w:r>
          </w:p>
        </w:tc>
        <w:tc>
          <w:tcPr>
            <w:tcW w:w="2539" w:type="dxa"/>
            <w:vAlign w:val="center"/>
          </w:tcPr>
          <w:p w14:paraId="4D6794FC">
            <w:pPr>
              <w:spacing w:line="360" w:lineRule="auto"/>
              <w:jc w:val="center"/>
              <w:rPr>
                <w:rFonts w:hint="eastAsia" w:asciiTheme="minorEastAsia" w:hAnsiTheme="minorEastAsia" w:eastAsiaTheme="minorEastAsia"/>
              </w:rPr>
            </w:pPr>
            <w:r>
              <w:rPr>
                <w:rFonts w:asciiTheme="minorEastAsia" w:hAnsiTheme="minorEastAsia" w:eastAsiaTheme="minorEastAsia"/>
                <w:b/>
                <w:sz w:val="28"/>
                <w:szCs w:val="28"/>
              </w:rPr>
              <w:t>金额（万元）</w:t>
            </w:r>
          </w:p>
        </w:tc>
        <w:tc>
          <w:tcPr>
            <w:tcW w:w="1681" w:type="dxa"/>
            <w:vAlign w:val="center"/>
          </w:tcPr>
          <w:p w14:paraId="19CB5FF7">
            <w:pPr>
              <w:spacing w:line="360" w:lineRule="auto"/>
              <w:jc w:val="center"/>
              <w:rPr>
                <w:rFonts w:hint="eastAsia" w:asciiTheme="minorEastAsia" w:hAnsiTheme="minorEastAsia" w:eastAsiaTheme="minorEastAsia"/>
              </w:rPr>
            </w:pPr>
            <w:r>
              <w:rPr>
                <w:rFonts w:asciiTheme="minorEastAsia" w:hAnsiTheme="minorEastAsia" w:eastAsiaTheme="minorEastAsia"/>
                <w:b/>
                <w:sz w:val="28"/>
                <w:szCs w:val="28"/>
              </w:rPr>
              <w:t>备注</w:t>
            </w:r>
          </w:p>
        </w:tc>
      </w:tr>
      <w:tr w14:paraId="49B4B7F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260D3EAF">
            <w:pPr>
              <w:spacing w:line="360" w:lineRule="auto"/>
              <w:jc w:val="center"/>
              <w:rPr>
                <w:rFonts w:hint="eastAsia" w:asciiTheme="minorEastAsia" w:hAnsiTheme="minorEastAsia" w:eastAsiaTheme="minorEastAsia"/>
              </w:rPr>
            </w:pPr>
            <w:r>
              <w:rPr>
                <w:rFonts w:hint="eastAsia" w:asciiTheme="minorEastAsia" w:hAnsiTheme="minorEastAsia" w:eastAsiaTheme="minorEastAsia"/>
                <w:szCs w:val="24"/>
              </w:rPr>
              <w:t>1</w:t>
            </w:r>
          </w:p>
        </w:tc>
        <w:tc>
          <w:tcPr>
            <w:tcW w:w="3240" w:type="dxa"/>
            <w:vAlign w:val="center"/>
          </w:tcPr>
          <w:p w14:paraId="652A86AE">
            <w:pPr>
              <w:spacing w:line="360" w:lineRule="auto"/>
              <w:rPr>
                <w:rFonts w:hint="eastAsia" w:asciiTheme="minorEastAsia" w:hAnsiTheme="minorEastAsia" w:eastAsiaTheme="minorEastAsia"/>
              </w:rPr>
            </w:pPr>
            <w:r>
              <w:rPr>
                <w:rFonts w:asciiTheme="minorEastAsia" w:hAnsiTheme="minorEastAsia" w:eastAsiaTheme="minorEastAsia"/>
                <w:szCs w:val="24"/>
              </w:rPr>
              <w:t>督查督办功能优化服务</w:t>
            </w:r>
          </w:p>
        </w:tc>
        <w:tc>
          <w:tcPr>
            <w:tcW w:w="2539" w:type="dxa"/>
            <w:vAlign w:val="center"/>
          </w:tcPr>
          <w:p w14:paraId="2B7DA983">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0EDCDA70">
            <w:pPr>
              <w:spacing w:line="360" w:lineRule="auto"/>
              <w:rPr>
                <w:rFonts w:hint="eastAsia" w:asciiTheme="minorEastAsia" w:hAnsiTheme="minorEastAsia" w:eastAsiaTheme="minorEastAsia"/>
              </w:rPr>
            </w:pPr>
          </w:p>
        </w:tc>
      </w:tr>
      <w:tr w14:paraId="606846A1">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3502E1FD">
            <w:pPr>
              <w:spacing w:line="360" w:lineRule="auto"/>
              <w:jc w:val="center"/>
              <w:rPr>
                <w:rFonts w:hint="eastAsia" w:asciiTheme="minorEastAsia" w:hAnsiTheme="minorEastAsia" w:eastAsiaTheme="minorEastAsia"/>
              </w:rPr>
            </w:pPr>
            <w:r>
              <w:rPr>
                <w:rFonts w:hint="eastAsia" w:asciiTheme="minorEastAsia" w:hAnsiTheme="minorEastAsia" w:eastAsiaTheme="minorEastAsia"/>
                <w:szCs w:val="24"/>
              </w:rPr>
              <w:t>2</w:t>
            </w:r>
          </w:p>
        </w:tc>
        <w:tc>
          <w:tcPr>
            <w:tcW w:w="3240" w:type="dxa"/>
            <w:vAlign w:val="center"/>
          </w:tcPr>
          <w:p w14:paraId="4AA47D87">
            <w:pPr>
              <w:spacing w:line="360" w:lineRule="auto"/>
              <w:rPr>
                <w:rFonts w:hint="eastAsia" w:asciiTheme="minorEastAsia" w:hAnsiTheme="minorEastAsia" w:eastAsiaTheme="minorEastAsia"/>
              </w:rPr>
            </w:pPr>
            <w:r>
              <w:rPr>
                <w:rFonts w:asciiTheme="minorEastAsia" w:hAnsiTheme="minorEastAsia" w:eastAsiaTheme="minorEastAsia"/>
                <w:szCs w:val="24"/>
              </w:rPr>
              <w:t>会议管理系统通知服务</w:t>
            </w:r>
          </w:p>
        </w:tc>
        <w:tc>
          <w:tcPr>
            <w:tcW w:w="2539" w:type="dxa"/>
            <w:vAlign w:val="center"/>
          </w:tcPr>
          <w:p w14:paraId="23707CFC">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2D779A54">
            <w:pPr>
              <w:spacing w:line="360" w:lineRule="auto"/>
              <w:rPr>
                <w:rFonts w:hint="eastAsia" w:asciiTheme="minorEastAsia" w:hAnsiTheme="minorEastAsia" w:eastAsiaTheme="minorEastAsia"/>
              </w:rPr>
            </w:pPr>
          </w:p>
        </w:tc>
      </w:tr>
      <w:tr w14:paraId="174723DF">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1B6A7E95">
            <w:pPr>
              <w:spacing w:line="360" w:lineRule="auto"/>
              <w:jc w:val="center"/>
              <w:rPr>
                <w:rFonts w:hint="eastAsia" w:asciiTheme="minorEastAsia" w:hAnsiTheme="minorEastAsia" w:eastAsiaTheme="minorEastAsia"/>
              </w:rPr>
            </w:pPr>
            <w:r>
              <w:rPr>
                <w:rFonts w:hint="eastAsia" w:asciiTheme="minorEastAsia" w:hAnsiTheme="minorEastAsia" w:eastAsiaTheme="minorEastAsia"/>
                <w:szCs w:val="24"/>
              </w:rPr>
              <w:t>3</w:t>
            </w:r>
          </w:p>
        </w:tc>
        <w:tc>
          <w:tcPr>
            <w:tcW w:w="3240" w:type="dxa"/>
            <w:vAlign w:val="center"/>
          </w:tcPr>
          <w:p w14:paraId="5F86E9C7">
            <w:pPr>
              <w:spacing w:line="360" w:lineRule="auto"/>
              <w:rPr>
                <w:rFonts w:hint="eastAsia" w:asciiTheme="minorEastAsia" w:hAnsiTheme="minorEastAsia" w:eastAsiaTheme="minorEastAsia"/>
              </w:rPr>
            </w:pPr>
            <w:r>
              <w:rPr>
                <w:rFonts w:asciiTheme="minorEastAsia" w:hAnsiTheme="minorEastAsia" w:eastAsiaTheme="minorEastAsia"/>
                <w:szCs w:val="24"/>
              </w:rPr>
              <w:t>领导签批件阅办服务</w:t>
            </w:r>
          </w:p>
        </w:tc>
        <w:tc>
          <w:tcPr>
            <w:tcW w:w="2539" w:type="dxa"/>
            <w:vAlign w:val="center"/>
          </w:tcPr>
          <w:p w14:paraId="55C3545A">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4187F176">
            <w:pPr>
              <w:spacing w:line="360" w:lineRule="auto"/>
              <w:rPr>
                <w:rFonts w:hint="eastAsia" w:asciiTheme="minorEastAsia" w:hAnsiTheme="minorEastAsia" w:eastAsiaTheme="minorEastAsia"/>
              </w:rPr>
            </w:pPr>
          </w:p>
        </w:tc>
      </w:tr>
      <w:tr w14:paraId="47A15EE3">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1F37D9FC">
            <w:pPr>
              <w:spacing w:line="360" w:lineRule="auto"/>
              <w:jc w:val="center"/>
              <w:rPr>
                <w:rFonts w:hint="eastAsia" w:asciiTheme="minorEastAsia" w:hAnsiTheme="minorEastAsia" w:eastAsiaTheme="minorEastAsia"/>
              </w:rPr>
            </w:pPr>
            <w:r>
              <w:rPr>
                <w:rFonts w:hint="eastAsia" w:asciiTheme="minorEastAsia" w:hAnsiTheme="minorEastAsia" w:eastAsiaTheme="minorEastAsia"/>
                <w:szCs w:val="24"/>
              </w:rPr>
              <w:t>4</w:t>
            </w:r>
          </w:p>
        </w:tc>
        <w:tc>
          <w:tcPr>
            <w:tcW w:w="3240" w:type="dxa"/>
            <w:vAlign w:val="center"/>
          </w:tcPr>
          <w:p w14:paraId="3CB26653">
            <w:pPr>
              <w:spacing w:line="360" w:lineRule="auto"/>
              <w:rPr>
                <w:rFonts w:hint="eastAsia" w:asciiTheme="minorEastAsia" w:hAnsiTheme="minorEastAsia" w:eastAsiaTheme="minorEastAsia"/>
              </w:rPr>
            </w:pPr>
            <w:r>
              <w:rPr>
                <w:rFonts w:asciiTheme="minorEastAsia" w:hAnsiTheme="minorEastAsia" w:eastAsiaTheme="minorEastAsia"/>
                <w:szCs w:val="24"/>
              </w:rPr>
              <w:t>流程优化服务</w:t>
            </w:r>
          </w:p>
        </w:tc>
        <w:tc>
          <w:tcPr>
            <w:tcW w:w="2539" w:type="dxa"/>
            <w:vAlign w:val="center"/>
          </w:tcPr>
          <w:p w14:paraId="230C4676">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28F7DB36">
            <w:pPr>
              <w:spacing w:line="360" w:lineRule="auto"/>
              <w:rPr>
                <w:rFonts w:hint="eastAsia" w:asciiTheme="minorEastAsia" w:hAnsiTheme="minorEastAsia" w:eastAsiaTheme="minorEastAsia"/>
              </w:rPr>
            </w:pPr>
          </w:p>
        </w:tc>
      </w:tr>
      <w:tr w14:paraId="7B8EC418">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192D0669">
            <w:pPr>
              <w:spacing w:line="360" w:lineRule="auto"/>
              <w:jc w:val="center"/>
              <w:rPr>
                <w:rFonts w:hint="eastAsia" w:asciiTheme="minorEastAsia" w:hAnsiTheme="minorEastAsia" w:eastAsiaTheme="minorEastAsia"/>
                <w:szCs w:val="24"/>
              </w:rPr>
            </w:pPr>
          </w:p>
        </w:tc>
        <w:tc>
          <w:tcPr>
            <w:tcW w:w="3240" w:type="dxa"/>
            <w:vAlign w:val="center"/>
          </w:tcPr>
          <w:p w14:paraId="46E29785">
            <w:pPr>
              <w:spacing w:line="360" w:lineRule="auto"/>
              <w:rPr>
                <w:rFonts w:asciiTheme="minorEastAsia" w:hAnsiTheme="minorEastAsia" w:eastAsiaTheme="minorEastAsia"/>
                <w:szCs w:val="24"/>
              </w:rPr>
            </w:pPr>
          </w:p>
        </w:tc>
        <w:tc>
          <w:tcPr>
            <w:tcW w:w="2539" w:type="dxa"/>
            <w:vAlign w:val="center"/>
          </w:tcPr>
          <w:p w14:paraId="7F589CEB">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6ABDF192">
            <w:pPr>
              <w:spacing w:line="360" w:lineRule="auto"/>
              <w:rPr>
                <w:rFonts w:hint="eastAsia" w:asciiTheme="minorEastAsia" w:hAnsiTheme="minorEastAsia" w:eastAsiaTheme="minorEastAsia"/>
              </w:rPr>
            </w:pPr>
          </w:p>
        </w:tc>
      </w:tr>
      <w:tr w14:paraId="2313769C">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832" w:type="dxa"/>
            <w:vAlign w:val="center"/>
          </w:tcPr>
          <w:p w14:paraId="65CF2B88">
            <w:pPr>
              <w:spacing w:line="360" w:lineRule="auto"/>
              <w:jc w:val="center"/>
              <w:rPr>
                <w:rFonts w:hint="eastAsia" w:asciiTheme="minorEastAsia" w:hAnsiTheme="minorEastAsia" w:eastAsiaTheme="minorEastAsia"/>
                <w:szCs w:val="24"/>
              </w:rPr>
            </w:pPr>
          </w:p>
        </w:tc>
        <w:tc>
          <w:tcPr>
            <w:tcW w:w="3240" w:type="dxa"/>
            <w:vAlign w:val="center"/>
          </w:tcPr>
          <w:p w14:paraId="45FE84CC">
            <w:pPr>
              <w:spacing w:line="360" w:lineRule="auto"/>
              <w:rPr>
                <w:rFonts w:asciiTheme="minorEastAsia" w:hAnsiTheme="minorEastAsia" w:eastAsiaTheme="minorEastAsia"/>
                <w:szCs w:val="24"/>
              </w:rPr>
            </w:pPr>
          </w:p>
        </w:tc>
        <w:tc>
          <w:tcPr>
            <w:tcW w:w="2539" w:type="dxa"/>
            <w:vAlign w:val="center"/>
          </w:tcPr>
          <w:p w14:paraId="4989FCAA">
            <w:pPr>
              <w:keepNext w:val="0"/>
              <w:keepLines w:val="0"/>
              <w:widowControl/>
              <w:suppressLineNumbers w:val="0"/>
              <w:jc w:val="both"/>
              <w:textAlignment w:val="center"/>
              <w:rPr>
                <w:rFonts w:hint="default" w:asciiTheme="minorEastAsia" w:hAnsiTheme="minorEastAsia" w:eastAsiaTheme="minorEastAsia"/>
                <w:lang w:val="en-US" w:eastAsia="zh-CN"/>
              </w:rPr>
            </w:pPr>
          </w:p>
        </w:tc>
        <w:tc>
          <w:tcPr>
            <w:tcW w:w="1681" w:type="dxa"/>
            <w:vAlign w:val="center"/>
          </w:tcPr>
          <w:p w14:paraId="03927A01">
            <w:pPr>
              <w:spacing w:line="360" w:lineRule="auto"/>
              <w:rPr>
                <w:rFonts w:hint="eastAsia" w:asciiTheme="minorEastAsia" w:hAnsiTheme="minorEastAsia" w:eastAsiaTheme="minorEastAsia"/>
              </w:rPr>
            </w:pPr>
          </w:p>
        </w:tc>
      </w:tr>
      <w:tr w14:paraId="19C6B75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c>
          <w:tcPr>
            <w:tcW w:w="4072" w:type="dxa"/>
            <w:gridSpan w:val="2"/>
            <w:vAlign w:val="center"/>
          </w:tcPr>
          <w:p w14:paraId="748A7AB8">
            <w:pPr>
              <w:spacing w:line="360" w:lineRule="auto"/>
              <w:jc w:val="center"/>
              <w:rPr>
                <w:rFonts w:hint="eastAsia" w:asciiTheme="minorEastAsia" w:hAnsiTheme="minorEastAsia" w:eastAsiaTheme="minorEastAsia"/>
                <w:lang w:eastAsia="zh-CN"/>
              </w:rPr>
            </w:pPr>
            <w:r>
              <w:rPr>
                <w:rFonts w:hint="eastAsia" w:asciiTheme="minorEastAsia" w:hAnsiTheme="minorEastAsia" w:eastAsiaTheme="minorEastAsia"/>
                <w:b/>
                <w:bCs/>
                <w:szCs w:val="24"/>
                <w:lang w:val="en-US" w:eastAsia="zh-CN"/>
              </w:rPr>
              <w:t>总计：</w:t>
            </w:r>
          </w:p>
        </w:tc>
        <w:tc>
          <w:tcPr>
            <w:tcW w:w="2539" w:type="dxa"/>
            <w:vAlign w:val="center"/>
          </w:tcPr>
          <w:p w14:paraId="7F92CB0B">
            <w:pPr>
              <w:keepNext w:val="0"/>
              <w:keepLines w:val="0"/>
              <w:widowControl/>
              <w:suppressLineNumbers w:val="0"/>
              <w:jc w:val="both"/>
              <w:textAlignment w:val="center"/>
              <w:rPr>
                <w:rFonts w:hint="eastAsia" w:asciiTheme="minorEastAsia" w:hAnsiTheme="minorEastAsia" w:eastAsiaTheme="minorEastAsia"/>
              </w:rPr>
            </w:pPr>
          </w:p>
        </w:tc>
        <w:tc>
          <w:tcPr>
            <w:tcW w:w="1681" w:type="dxa"/>
            <w:vAlign w:val="center"/>
          </w:tcPr>
          <w:p w14:paraId="3D845BE8">
            <w:pPr>
              <w:spacing w:line="360" w:lineRule="auto"/>
              <w:rPr>
                <w:rFonts w:hint="eastAsia" w:asciiTheme="minorEastAsia" w:hAnsiTheme="minorEastAsia" w:eastAsiaTheme="minorEastAsia"/>
              </w:rPr>
            </w:pPr>
          </w:p>
        </w:tc>
      </w:tr>
    </w:tbl>
    <w:p w14:paraId="268AF30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合计总价：</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（大写）</w:t>
      </w:r>
    </w:p>
    <w:p w14:paraId="3B9A066B">
      <w:pPr>
        <w:spacing w:before="156" w:beforeLines="50"/>
        <w:ind w:firstLine="2240" w:firstLineChars="7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元（小写）</w:t>
      </w:r>
    </w:p>
    <w:p w14:paraId="185786D3">
      <w:pPr>
        <w:spacing w:line="360" w:lineRule="auto"/>
        <w:ind w:firstLine="56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82FEBA-C893-4BF3-8B6B-58EE4CF49F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AF10892-2D46-44C7-BA93-0A35F2C2EF2A}"/>
  </w:font>
  <w:font w:name="仿宋_GB2312">
    <w:panose1 w:val="02010609030101010101"/>
    <w:charset w:val="86"/>
    <w:family w:val="modern"/>
    <w:pitch w:val="default"/>
    <w:sig w:usb0="00000001" w:usb1="080E0000" w:usb2="00000000" w:usb3="00000000" w:csb0="00040000" w:csb1="00000000"/>
    <w:embedRegular r:id="rId3" w:fontKey="{623978CA-EE8D-4BB3-9D44-E75F7DC88F39}"/>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4" w:fontKey="{D12EBF3E-8CD6-428C-8BAB-4F9D5CD389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850E8"/>
    <w:multiLevelType w:val="multilevel"/>
    <w:tmpl w:val="0B0850E8"/>
    <w:lvl w:ilvl="0" w:tentative="0">
      <w:start w:val="1"/>
      <w:numFmt w:val="decimal"/>
      <w:pStyle w:val="2"/>
      <w:lvlText w:val="%1"/>
      <w:lvlJc w:val="left"/>
      <w:pPr>
        <w:ind w:left="425" w:hanging="425"/>
      </w:pPr>
    </w:lvl>
    <w:lvl w:ilvl="1" w:tentative="0">
      <w:start w:val="1"/>
      <w:numFmt w:val="decimal"/>
      <w:pStyle w:val="3"/>
      <w:lvlText w:val="%1.%2"/>
      <w:lvlJc w:val="left"/>
      <w:pPr>
        <w:ind w:left="992" w:hanging="567"/>
      </w:pPr>
    </w:lvl>
    <w:lvl w:ilvl="2" w:tentative="0">
      <w:start w:val="1"/>
      <w:numFmt w:val="decimal"/>
      <w:pStyle w:val="4"/>
      <w:lvlText w:val="%1.%2.%3"/>
      <w:lvlJc w:val="left"/>
      <w:pPr>
        <w:ind w:left="1418" w:hanging="567"/>
      </w:pPr>
    </w:lvl>
    <w:lvl w:ilvl="3" w:tentative="0">
      <w:start w:val="1"/>
      <w:numFmt w:val="decimal"/>
      <w:pStyle w:val="5"/>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4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4B"/>
    <w:rsid w:val="00065BBF"/>
    <w:rsid w:val="00073930"/>
    <w:rsid w:val="00194B38"/>
    <w:rsid w:val="001A4B92"/>
    <w:rsid w:val="00250791"/>
    <w:rsid w:val="00341496"/>
    <w:rsid w:val="004479E5"/>
    <w:rsid w:val="004B4510"/>
    <w:rsid w:val="0063464B"/>
    <w:rsid w:val="006428C0"/>
    <w:rsid w:val="00645F78"/>
    <w:rsid w:val="00672B47"/>
    <w:rsid w:val="006E7C8B"/>
    <w:rsid w:val="00704C5D"/>
    <w:rsid w:val="00796E83"/>
    <w:rsid w:val="00797854"/>
    <w:rsid w:val="00846218"/>
    <w:rsid w:val="008B1241"/>
    <w:rsid w:val="009722D3"/>
    <w:rsid w:val="00A072FD"/>
    <w:rsid w:val="00A81B6F"/>
    <w:rsid w:val="00B71E33"/>
    <w:rsid w:val="00B7567F"/>
    <w:rsid w:val="00CC40EE"/>
    <w:rsid w:val="00D049E1"/>
    <w:rsid w:val="00D21963"/>
    <w:rsid w:val="00E01DCE"/>
    <w:rsid w:val="00E77993"/>
    <w:rsid w:val="00E87D73"/>
    <w:rsid w:val="0FA82102"/>
    <w:rsid w:val="18EF34C6"/>
    <w:rsid w:val="25AA4C20"/>
    <w:rsid w:val="29C4731D"/>
    <w:rsid w:val="2B626DED"/>
    <w:rsid w:val="2CB01F3A"/>
    <w:rsid w:val="35DA0547"/>
    <w:rsid w:val="3C6F48C9"/>
    <w:rsid w:val="3C7B3ED5"/>
    <w:rsid w:val="3C9B215F"/>
    <w:rsid w:val="4B493B15"/>
    <w:rsid w:val="4C52675D"/>
    <w:rsid w:val="51D65E52"/>
    <w:rsid w:val="5A777D7A"/>
    <w:rsid w:val="642B717A"/>
    <w:rsid w:val="72C103A8"/>
    <w:rsid w:val="7A91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4"/>
      <w:szCs w:val="22"/>
      <w:lang w:val="en-US" w:eastAsia="zh-CN" w:bidi="ar-SA"/>
    </w:rPr>
  </w:style>
  <w:style w:type="paragraph" w:styleId="2">
    <w:name w:val="heading 1"/>
    <w:basedOn w:val="1"/>
    <w:next w:val="1"/>
    <w:link w:val="12"/>
    <w:qFormat/>
    <w:uiPriority w:val="9"/>
    <w:pPr>
      <w:keepNext/>
      <w:keepLines/>
      <w:numPr>
        <w:ilvl w:val="0"/>
        <w:numId w:val="1"/>
      </w:numPr>
      <w:spacing w:line="360" w:lineRule="auto"/>
      <w:outlineLvl w:val="0"/>
    </w:pPr>
    <w:rPr>
      <w:rFonts w:ascii="黑体" w:hAnsi="黑体" w:eastAsia="黑体" w:cstheme="minorBidi"/>
      <w:b/>
      <w:bCs/>
      <w:kern w:val="44"/>
      <w:sz w:val="32"/>
      <w:szCs w:val="32"/>
    </w:rPr>
  </w:style>
  <w:style w:type="paragraph" w:styleId="3">
    <w:name w:val="heading 2"/>
    <w:basedOn w:val="1"/>
    <w:next w:val="1"/>
    <w:link w:val="13"/>
    <w:unhideWhenUsed/>
    <w:qFormat/>
    <w:uiPriority w:val="9"/>
    <w:pPr>
      <w:keepNext/>
      <w:keepLines/>
      <w:numPr>
        <w:ilvl w:val="1"/>
        <w:numId w:val="1"/>
      </w:numPr>
      <w:spacing w:line="360" w:lineRule="auto"/>
      <w:outlineLvl w:val="1"/>
    </w:pPr>
    <w:rPr>
      <w:rFonts w:ascii="仿宋_GB2312" w:eastAsia="宋体" w:hAnsiTheme="majorHAnsi" w:cstheme="majorBidi"/>
      <w:b/>
      <w:bCs/>
      <w:sz w:val="32"/>
      <w:szCs w:val="32"/>
    </w:rPr>
  </w:style>
  <w:style w:type="paragraph" w:styleId="4">
    <w:name w:val="heading 3"/>
    <w:basedOn w:val="3"/>
    <w:next w:val="1"/>
    <w:link w:val="14"/>
    <w:unhideWhenUsed/>
    <w:qFormat/>
    <w:uiPriority w:val="9"/>
    <w:pPr>
      <w:numPr>
        <w:ilvl w:val="2"/>
      </w:numPr>
      <w:outlineLvl w:val="2"/>
    </w:pPr>
  </w:style>
  <w:style w:type="paragraph" w:styleId="5">
    <w:name w:val="heading 4"/>
    <w:basedOn w:val="1"/>
    <w:next w:val="1"/>
    <w:link w:val="15"/>
    <w:unhideWhenUsed/>
    <w:qFormat/>
    <w:uiPriority w:val="9"/>
    <w:pPr>
      <w:keepNext/>
      <w:keepLines/>
      <w:numPr>
        <w:ilvl w:val="3"/>
        <w:numId w:val="1"/>
      </w:numPr>
      <w:spacing w:line="360" w:lineRule="auto"/>
      <w:ind w:left="0" w:firstLine="0"/>
      <w:outlineLvl w:val="3"/>
    </w:pPr>
    <w:rPr>
      <w:rFonts w:eastAsia="宋体" w:asciiTheme="majorHAnsi" w:hAnsiTheme="majorHAnsi" w:cstheme="majorBidi"/>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paragraph" w:customStyle="1" w:styleId="11">
    <w:name w:val="b-free-read-leaf"/>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12">
    <w:name w:val="标题 1 字符"/>
    <w:basedOn w:val="9"/>
    <w:link w:val="2"/>
    <w:qFormat/>
    <w:uiPriority w:val="9"/>
    <w:rPr>
      <w:rFonts w:ascii="黑体" w:hAnsi="黑体" w:eastAsia="黑体"/>
      <w:b/>
      <w:bCs/>
      <w:kern w:val="44"/>
      <w:sz w:val="32"/>
      <w:szCs w:val="32"/>
    </w:rPr>
  </w:style>
  <w:style w:type="character" w:customStyle="1" w:styleId="13">
    <w:name w:val="标题 2 字符"/>
    <w:basedOn w:val="9"/>
    <w:link w:val="3"/>
    <w:qFormat/>
    <w:uiPriority w:val="9"/>
    <w:rPr>
      <w:rFonts w:ascii="仿宋_GB2312" w:eastAsia="宋体" w:hAnsiTheme="majorHAnsi" w:cstheme="majorBidi"/>
      <w:b/>
      <w:bCs/>
      <w:sz w:val="32"/>
      <w:szCs w:val="32"/>
    </w:rPr>
  </w:style>
  <w:style w:type="character" w:customStyle="1" w:styleId="14">
    <w:name w:val="标题 3 字符"/>
    <w:basedOn w:val="9"/>
    <w:link w:val="4"/>
    <w:qFormat/>
    <w:uiPriority w:val="9"/>
    <w:rPr>
      <w:rFonts w:ascii="仿宋_GB2312" w:eastAsia="宋体" w:hAnsiTheme="majorHAnsi" w:cstheme="majorBidi"/>
      <w:b/>
      <w:bCs/>
      <w:sz w:val="32"/>
      <w:szCs w:val="32"/>
    </w:rPr>
  </w:style>
  <w:style w:type="character" w:customStyle="1" w:styleId="15">
    <w:name w:val="标题 4 字符"/>
    <w:basedOn w:val="9"/>
    <w:link w:val="5"/>
    <w:qFormat/>
    <w:uiPriority w:val="9"/>
    <w:rPr>
      <w:rFonts w:eastAsia="宋体" w:asciiTheme="majorHAnsi" w:hAnsiTheme="majorHAnsi" w:cstheme="majorBidi"/>
      <w:bCs/>
      <w:sz w:val="32"/>
      <w:szCs w:val="28"/>
    </w:rPr>
  </w:style>
  <w:style w:type="character" w:customStyle="1" w:styleId="16">
    <w:name w:val="页眉 字符"/>
    <w:basedOn w:val="9"/>
    <w:link w:val="7"/>
    <w:qFormat/>
    <w:uiPriority w:val="99"/>
    <w:rPr>
      <w:rFonts w:ascii="等线" w:hAnsi="等线" w:eastAsia="等线" w:cs="等线"/>
      <w:sz w:val="18"/>
      <w:szCs w:val="18"/>
    </w:rPr>
  </w:style>
  <w:style w:type="character" w:customStyle="1" w:styleId="17">
    <w:name w:val="页脚 字符"/>
    <w:basedOn w:val="9"/>
    <w:link w:val="6"/>
    <w:qFormat/>
    <w:uiPriority w:val="99"/>
    <w:rPr>
      <w:rFonts w:ascii="等线" w:hAnsi="等线" w:eastAsia="等线" w:cs="等线"/>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8bc9f742-4b3d-40df-ab77-65bc9f64a075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3CC1B8B8</paraID>
      <start>0</start>
      <end>2</end>
      <status>unmodified</status>
      <modifiedWord/>
      <trackRevisions>false</trackRevisions>
    </reviewItem>
    <reviewItem>
      <errorID>d26d83e4-0cec-4db3-a24f-a9d48dca38b4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BF82672</paraID>
      <start>0</start>
      <end>2</end>
      <status>unmodified</status>
      <modifiedWord/>
      <trackRevisions>false</trackRevisions>
    </reviewItem>
    <reviewItem>
      <errorID>511323cd-8aac-477b-ba1e-2b9b827eea8c</errorID>
      <errorWord>发布</errorWord>
      <group>L1_Grammar</group>
      <groupName>语法问题</groupName>
      <ability>L2_Grammar</ability>
      <abilityName>语法错误</abilityName>
      <candidateList>
        <item>发表</item>
      </candidateList>
      <explain>“会议～发布”搭配不当，建议修改为“会议～发表”。</explain>
      <paraID>2E46FF0A</paraID>
      <start>8</start>
      <end>10</end>
      <status>unmodified</status>
      <modifiedWord/>
      <trackRevisions>false</trackRevisions>
    </reviewItem>
    <reviewItem>
      <errorID>9f393ecf-d492-4742-9d5d-cc4597a6e4a0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185D74F8</paraID>
      <start>0</start>
      <end>2</end>
      <status>unmodified</status>
      <modifiedWord/>
      <trackRevisions>false</trackRevisions>
    </reviewItem>
    <reviewItem>
      <errorID>2d40215b-6963-4821-ac09-cd16c7f24089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3DD06E3D</paraID>
      <start>0</start>
      <end>2</end>
      <status>unmodified</status>
      <modifiedWord/>
      <trackRevisions>false</trackRevisions>
    </reviewItem>
    <reviewItem>
      <errorID>acf46e8e-c88f-492f-a5d7-4c427ce59624</errorID>
      <errorWord>选择</errorWord>
      <group>L1_Punc</group>
      <groupName>标点问题</groupName>
      <ability>L2_Punc_CN</ability>
      <abilityName>标点符号问题</abilityName>
      <candidateList>
        <item>，选择</item>
      </candidateList>
      <explain/>
      <paraID> 544498A</paraID>
      <start>32</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e37530dd-2999-4d7c-ac1a-3b218b6edff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1187</Words>
  <Characters>1212</Characters>
  <Lines>15</Lines>
  <Paragraphs>4</Paragraphs>
  <TotalTime>8</TotalTime>
  <ScaleCrop>false</ScaleCrop>
  <LinksUpToDate>false</LinksUpToDate>
  <CharactersWithSpaces>1266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2026-06-11T01:40:00Z</dcterms:created>
  <dc:creator>Administrator</dc:creator>
  <cp:lastModifiedBy>郑开新</cp:lastModifiedBy>
  <dcterms:modified xsi:type="dcterms:W3CDTF">2026-06-12T06:38:43Z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eyJoZGlkIjoiMzgyZjQ0NTdkODkxNmZmZGI5NzMwNzY1NTlkZjlkMGQiLCJ1c2VySWQiOiIzMjk5MDc3NzIifQ==</vt:lpwstr>
  </property>
  <property fmtid="{D5CDD505-2E9C-101B-9397-08002B2CF9AE}" pid="3" name="KSOProductBuildVer">
    <vt:lpwstr>2052-12.1.0.26895</vt:lpwstr>
  </property>
  <property fmtid="{D5CDD505-2E9C-101B-9397-08002B2CF9AE}" pid="4" name="ICV">
    <vt:lpwstr>23A50B9EAED146B6A19CFE5AD5DB2F45_13</vt:lpwstr>
  </property>
</Properties>
</file>