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keepNext/>
        <w:keepLines/>
        <w:pageBreakBefore w:val="0"/>
        <w:numPr>
          <w:ilvl w:val="-1"/>
          <w:numId w:val="0"/>
        </w:numPr>
        <w:spacing w:beforeAutospacing="0" w:afterAutospacing="0" w:line="360" w:lineRule="auto"/>
        <w:ind w:left="0"/>
        <w:jc w:val="center"/>
        <w:outlineLvl w:val="0"/>
        <w:rPr>
          <w:rFonts w:hint="default" w:ascii="宋体" w:hAnsi="宋体" w:eastAsia="宋体"/>
          <w:b/>
          <w:bCs w:val="0"/>
          <w:color w:val="000000" w:themeColor="text1"/>
          <w:sz w:val="44"/>
          <w:szCs w:val="44"/>
          <w14:textFill>
            <w14:solidFill>
              <w14:schemeClr w14:val="tx1"/>
            </w14:solidFill>
          </w14:textFill>
        </w:rPr>
      </w:pPr>
      <w:r>
        <w:rPr>
          <w:rFonts w:hint="eastAsia" w:ascii="宋体" w:hAnsi="宋体" w:eastAsia="宋体"/>
          <w:b/>
          <w:bCs w:val="0"/>
          <w:color w:val="000000" w:themeColor="text1"/>
          <w:sz w:val="44"/>
          <w:szCs w:val="44"/>
          <w14:textFill>
            <w14:solidFill>
              <w14:schemeClr w14:val="tx1"/>
            </w14:solidFill>
          </w14:textFill>
        </w:rPr>
        <w:t>2024年度机房、网络、视频会议设备维保及运维服务要求</w:t>
      </w:r>
    </w:p>
    <w:p>
      <w:pPr>
        <w:outlineLvl w:val="9"/>
        <w:rPr>
          <w:rFonts w:hint="eastAsia" w:ascii="宋体" w:hAnsi="宋体"/>
          <w:b/>
          <w:color w:val="000000"/>
          <w:sz w:val="30"/>
          <w:szCs w:val="30"/>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0" w:right="0" w:firstLine="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一、项目概况（采购标的）</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本项目为2024年度机房、网络、视频会议设备维保及运维服务，服务内容为：省市场局机房、</w:t>
      </w:r>
      <w:r>
        <w:rPr>
          <w:rFonts w:hint="eastAsia" w:ascii="宋体" w:hAnsi="宋体" w:eastAsia="宋体" w:cs="宋体"/>
          <w:color w:val="auto"/>
          <w:sz w:val="24"/>
          <w:szCs w:val="24"/>
          <w:lang w:val="en-US" w:eastAsia="zh-CN"/>
        </w:rPr>
        <w:t>全省</w:t>
      </w:r>
      <w:r>
        <w:rPr>
          <w:rFonts w:hint="eastAsia" w:ascii="宋体" w:hAnsi="宋体" w:eastAsia="宋体" w:cs="宋体"/>
          <w:color w:val="auto"/>
          <w:sz w:val="24"/>
          <w:szCs w:val="24"/>
        </w:rPr>
        <w:t>视频会议设备维保及运维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华林办公区和五四路办公区网络及相关网络设备、所有办公终端及相关设备运维及驻点服务；托管在长乐电子政务云平台的服务器、网络及相关设备运维；全省视频会议系统的网络线路、网络设备运维；省局至国家总局各网络线路运维；全省政务外网（市场监管专区）网络运维。</w:t>
      </w:r>
    </w:p>
    <w:p>
      <w:pPr>
        <w:pStyle w:val="16"/>
        <w:widowControl/>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目前，福建省市场监督管理局采购的</w:t>
      </w:r>
      <w:r>
        <w:rPr>
          <w:rFonts w:hint="eastAsia" w:ascii="宋体" w:hAnsi="宋体" w:eastAsia="宋体" w:cs="宋体"/>
          <w:b w:val="0"/>
          <w:bCs w:val="0"/>
          <w:color w:val="auto"/>
          <w:sz w:val="24"/>
          <w:szCs w:val="24"/>
          <w:lang w:eastAsia="zh-CN"/>
        </w:rPr>
        <w:t>2023</w:t>
      </w:r>
      <w:r>
        <w:rPr>
          <w:rFonts w:hint="eastAsia" w:ascii="宋体" w:hAnsi="宋体" w:eastAsia="宋体" w:cs="宋体"/>
          <w:b w:val="0"/>
          <w:bCs w:val="0"/>
          <w:color w:val="auto"/>
          <w:sz w:val="24"/>
          <w:szCs w:val="24"/>
        </w:rPr>
        <w:t>年度机房、网络、视频会议设备维保及运维服务即将到期，为确保</w:t>
      </w:r>
      <w:r>
        <w:rPr>
          <w:rFonts w:hint="eastAsia" w:ascii="宋体" w:hAnsi="宋体" w:eastAsia="宋体" w:cs="宋体"/>
          <w:b w:val="0"/>
          <w:bCs w:val="0"/>
          <w:color w:val="auto"/>
          <w:sz w:val="24"/>
          <w:szCs w:val="24"/>
          <w:lang w:val="en-US" w:eastAsia="zh-CN"/>
        </w:rPr>
        <w:t>服务</w:t>
      </w:r>
      <w:r>
        <w:rPr>
          <w:rFonts w:hint="eastAsia" w:ascii="宋体" w:hAnsi="宋体" w:eastAsia="宋体" w:cs="宋体"/>
          <w:b w:val="0"/>
          <w:bCs w:val="0"/>
          <w:color w:val="auto"/>
          <w:sz w:val="24"/>
          <w:szCs w:val="24"/>
        </w:rPr>
        <w:t>的持续性，福建省市场监督管理局需向专业的服务商采购新一年度机房、网络、视频会议设备维保及运维服务。</w:t>
      </w:r>
    </w:p>
    <w:p>
      <w:pPr>
        <w:pageBreakBefore w:val="0"/>
        <w:kinsoku/>
        <w:wordWrap/>
        <w:overflowPunct/>
        <w:topLinePunct w:val="0"/>
        <w:bidi w:val="0"/>
        <w:spacing w:line="360" w:lineRule="auto"/>
        <w:rPr>
          <w:rFonts w:hint="default" w:eastAsia="宋体"/>
          <w:lang w:val="en-US" w:eastAsia="zh-CN"/>
        </w:rPr>
      </w:pPr>
      <w:r>
        <w:rPr>
          <w:rFonts w:hint="eastAsia" w:ascii="宋体" w:hAnsi="宋体" w:eastAsia="宋体" w:cs="宋体"/>
          <w:b w:val="0"/>
          <w:bCs w:val="0"/>
          <w:color w:val="auto"/>
          <w:sz w:val="24"/>
          <w:szCs w:val="24"/>
          <w:lang w:val="en-US" w:eastAsia="zh-CN"/>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360" w:lineRule="auto"/>
        <w:ind w:leftChars="0" w:right="0" w:rightChars="0"/>
        <w:jc w:val="both"/>
        <w:outlineLvl w:val="2"/>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i w:val="0"/>
          <w:iCs w:val="0"/>
          <w:caps w:val="0"/>
          <w:color w:val="auto"/>
          <w:spacing w:val="0"/>
          <w:sz w:val="24"/>
          <w:szCs w:val="24"/>
          <w:shd w:val="clear" w:fill="FFFFFF"/>
          <w:lang w:val="en-US" w:eastAsia="zh-CN"/>
        </w:rPr>
        <w:t>二、</w:t>
      </w:r>
      <w:r>
        <w:rPr>
          <w:rFonts w:hint="eastAsia" w:ascii="宋体" w:hAnsi="宋体" w:eastAsia="宋体" w:cs="宋体"/>
          <w:b/>
          <w:bCs/>
          <w:i w:val="0"/>
          <w:iCs w:val="0"/>
          <w:caps w:val="0"/>
          <w:color w:val="auto"/>
          <w:spacing w:val="0"/>
          <w:sz w:val="24"/>
          <w:szCs w:val="24"/>
          <w:shd w:val="clear" w:fill="FFFFFF"/>
        </w:rPr>
        <w:t>技术和服务要求（以“★”标示的内容为不允许负偏离的实质性要求）</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2" w:firstLineChars="200"/>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一</w:t>
      </w:r>
      <w:r>
        <w:rPr>
          <w:rFonts w:hint="eastAsia" w:ascii="宋体" w:hAnsi="宋体" w:eastAsia="宋体" w:cs="宋体"/>
          <w:b/>
          <w:bCs w:val="0"/>
          <w:color w:val="auto"/>
          <w:sz w:val="24"/>
          <w:szCs w:val="24"/>
          <w:lang w:eastAsia="zh-CN"/>
        </w:rPr>
        <w:t>）</w:t>
      </w:r>
      <w:r>
        <w:rPr>
          <w:rFonts w:hint="eastAsia" w:ascii="宋体" w:hAnsi="宋体" w:eastAsia="宋体" w:cs="宋体"/>
          <w:b/>
          <w:sz w:val="24"/>
          <w:lang w:eastAsia="zh-CN"/>
        </w:rPr>
        <w:t>网络设备及终端维保及运维服务</w:t>
      </w:r>
    </w:p>
    <w:p>
      <w:pPr>
        <w:ind w:firstLine="480" w:firstLineChars="200"/>
        <w:outlineLvl w:val="9"/>
        <w:rPr>
          <w:rFonts w:hint="eastAsia" w:ascii="宋体" w:hAnsi="宋体" w:eastAsia="宋体" w:cs="宋体"/>
          <w:b w:val="0"/>
          <w:bCs/>
          <w:sz w:val="24"/>
          <w:szCs w:val="24"/>
          <w:shd w:val="clear" w:fill="FFFFFF"/>
        </w:rPr>
      </w:pPr>
      <w:r>
        <w:rPr>
          <w:rFonts w:hint="eastAsia" w:ascii="宋体" w:hAnsi="宋体" w:cs="宋体"/>
          <w:b w:val="0"/>
          <w:bCs/>
          <w:sz w:val="24"/>
          <w:szCs w:val="24"/>
          <w:shd w:val="clear" w:fill="FFFFFF"/>
          <w:lang w:val="en-US" w:eastAsia="zh-CN"/>
        </w:rPr>
        <w:t>按甲方指定的日期开始，提供13个月的服务</w:t>
      </w:r>
      <w:r>
        <w:rPr>
          <w:rFonts w:hint="eastAsia" w:ascii="宋体" w:hAnsi="宋体" w:eastAsia="宋体" w:cs="宋体"/>
          <w:b w:val="0"/>
          <w:bCs/>
          <w:sz w:val="24"/>
          <w:szCs w:val="24"/>
          <w:shd w:val="clear" w:fill="FFFFFF"/>
        </w:rPr>
        <w:t>。</w:t>
      </w:r>
    </w:p>
    <w:p>
      <w:pPr>
        <w:pStyle w:val="16"/>
        <w:keepNext w:val="0"/>
        <w:keepLines w:val="0"/>
        <w:widowControl/>
        <w:suppressLineNumbers w:val="0"/>
        <w:spacing w:before="45" w:beforeAutospacing="0" w:after="45" w:afterAutospacing="0"/>
        <w:ind w:left="0" w:right="0" w:firstLine="0"/>
        <w:jc w:val="left"/>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4"/>
          <w:szCs w:val="24"/>
        </w:rPr>
        <w:t>★</w:t>
      </w:r>
      <w:r>
        <w:rPr>
          <w:rStyle w:val="18"/>
          <w:rFonts w:hint="eastAsia" w:ascii="宋体" w:hAnsi="宋体" w:eastAsia="宋体" w:cs="宋体"/>
          <w:i w:val="0"/>
          <w:caps w:val="0"/>
          <w:color w:val="000000"/>
          <w:spacing w:val="0"/>
          <w:sz w:val="24"/>
          <w:szCs w:val="24"/>
        </w:rPr>
        <w:t>1、设备清单及要求</w:t>
      </w:r>
    </w:p>
    <w:p>
      <w:pPr>
        <w:pStyle w:val="16"/>
        <w:keepNext w:val="0"/>
        <w:keepLines w:val="0"/>
        <w:widowControl/>
        <w:suppressLineNumbers w:val="0"/>
        <w:spacing w:before="45" w:beforeAutospacing="0" w:after="45" w:afterAutospacing="0"/>
        <w:ind w:left="0" w:right="0" w:firstLine="0"/>
        <w:jc w:val="left"/>
        <w:rPr>
          <w:rFonts w:hint="eastAsia" w:ascii="微软雅黑" w:hAnsi="微软雅黑" w:eastAsia="微软雅黑" w:cs="微软雅黑"/>
          <w:i w:val="0"/>
          <w:caps w:val="0"/>
          <w:color w:val="000000"/>
          <w:spacing w:val="0"/>
          <w:sz w:val="24"/>
          <w:szCs w:val="24"/>
        </w:rPr>
      </w:pPr>
      <w:r>
        <w:rPr>
          <w:rStyle w:val="18"/>
          <w:rFonts w:hint="eastAsia" w:ascii="宋体" w:hAnsi="宋体" w:eastAsia="宋体" w:cs="宋体"/>
          <w:i w:val="0"/>
          <w:caps w:val="0"/>
          <w:color w:val="000000"/>
          <w:spacing w:val="0"/>
          <w:sz w:val="24"/>
          <w:szCs w:val="24"/>
        </w:rPr>
        <w:t>1.1设备清单 </w:t>
      </w:r>
    </w:p>
    <w:p>
      <w:pPr>
        <w:pStyle w:val="16"/>
        <w:keepNext w:val="0"/>
        <w:keepLines w:val="0"/>
        <w:widowControl/>
        <w:suppressLineNumbers w:val="0"/>
        <w:spacing w:before="45" w:beforeAutospacing="0" w:after="45" w:afterAutospacing="0"/>
        <w:ind w:left="0" w:right="0" w:firstLine="241" w:firstLineChars="100"/>
        <w:jc w:val="left"/>
        <w:rPr>
          <w:rStyle w:val="18"/>
          <w:rFonts w:ascii="仿宋_GB2312" w:hAnsi="仿宋_GB2312" w:eastAsia="仿宋_GB2312" w:cs="仿宋_GB2312"/>
          <w:b w:val="0"/>
          <w:sz w:val="32"/>
          <w:szCs w:val="32"/>
          <w:shd w:val="clear" w:color="auto" w:fill="FFFFFF"/>
        </w:rPr>
      </w:pPr>
      <w:r>
        <w:rPr>
          <w:rStyle w:val="18"/>
          <w:rFonts w:hint="eastAsia" w:ascii="宋体" w:hAnsi="宋体" w:eastAsia="宋体" w:cs="宋体"/>
          <w:i w:val="0"/>
          <w:caps w:val="0"/>
          <w:color w:val="000000"/>
          <w:spacing w:val="0"/>
          <w:sz w:val="24"/>
          <w:szCs w:val="24"/>
        </w:rPr>
        <w:t>1.1</w:t>
      </w:r>
      <w:r>
        <w:rPr>
          <w:rStyle w:val="18"/>
          <w:rFonts w:hint="eastAsia" w:ascii="宋体" w:hAnsi="宋体" w:eastAsia="宋体" w:cs="宋体"/>
          <w:i w:val="0"/>
          <w:caps w:val="0"/>
          <w:color w:val="000000"/>
          <w:spacing w:val="0"/>
          <w:sz w:val="24"/>
          <w:szCs w:val="24"/>
          <w:lang w:val="en-US" w:eastAsia="zh-CN"/>
        </w:rPr>
        <w:t>.1</w:t>
      </w:r>
      <w:r>
        <w:rPr>
          <w:rStyle w:val="18"/>
          <w:rFonts w:hint="eastAsia" w:ascii="宋体" w:hAnsi="宋体" w:eastAsia="宋体" w:cs="宋体"/>
          <w:i w:val="0"/>
          <w:caps w:val="0"/>
          <w:color w:val="000000"/>
          <w:spacing w:val="0"/>
          <w:sz w:val="24"/>
          <w:szCs w:val="24"/>
        </w:rPr>
        <w:t>网络及视频会议设备</w:t>
      </w:r>
    </w:p>
    <w:tbl>
      <w:tblPr>
        <w:tblStyle w:val="20"/>
        <w:tblW w:w="8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962"/>
        <w:gridCol w:w="2025"/>
        <w:gridCol w:w="1688"/>
        <w:gridCol w:w="53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96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设备描述</w:t>
            </w: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96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H3C网络设备维保服务（全省视频会议）</w:t>
            </w: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市局路由器</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H3C</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AR4680</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Cs/>
                <w:kern w:val="0"/>
                <w:sz w:val="24"/>
                <w:szCs w:val="24"/>
              </w:rPr>
              <w:t>原厂服务/</w:t>
            </w:r>
            <w:r>
              <w:rPr>
                <w:rFonts w:hint="eastAsia" w:ascii="宋体" w:hAnsi="宋体" w:eastAsia="宋体" w:cs="宋体"/>
                <w:bCs/>
                <w:kern w:val="0"/>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19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区县局路由器</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H3C</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MSR20-40</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83</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Cs/>
                <w:kern w:val="0"/>
                <w:sz w:val="24"/>
                <w:szCs w:val="24"/>
              </w:rPr>
              <w:t>原厂服务/</w:t>
            </w:r>
            <w:r>
              <w:rPr>
                <w:rFonts w:hint="eastAsia" w:ascii="宋体" w:hAnsi="宋体" w:eastAsia="宋体" w:cs="宋体"/>
                <w:bCs/>
                <w:kern w:val="0"/>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3</w:t>
            </w:r>
          </w:p>
        </w:tc>
        <w:tc>
          <w:tcPr>
            <w:tcW w:w="1962"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全省锐捷网络设备维保服务</w:t>
            </w: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省局核心路由器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（视频会议）</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锐捷</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RG-RSR7716</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bCs/>
                <w:kern w:val="0"/>
                <w:sz w:val="24"/>
                <w:szCs w:val="24"/>
              </w:rPr>
              <w:t>原厂服务/</w:t>
            </w:r>
            <w:r>
              <w:rPr>
                <w:rFonts w:hint="eastAsia" w:ascii="宋体" w:hAnsi="宋体" w:eastAsia="宋体" w:cs="宋体"/>
                <w:bCs/>
                <w:kern w:val="0"/>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w:t>
            </w:r>
          </w:p>
        </w:tc>
        <w:tc>
          <w:tcPr>
            <w:tcW w:w="19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省局核心交换机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（到国家总局）</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锐捷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RG-S12010</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原厂服务/</w:t>
            </w:r>
            <w:r>
              <w:rPr>
                <w:rFonts w:hint="eastAsia" w:ascii="宋体" w:hAnsi="宋体" w:eastAsia="宋体" w:cs="宋体"/>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w:t>
            </w:r>
          </w:p>
        </w:tc>
        <w:tc>
          <w:tcPr>
            <w:tcW w:w="19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省局DMZ区核心交换机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（互联网出口）</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锐捷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RG-S8606-B</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原厂服务/</w:t>
            </w:r>
            <w:r>
              <w:rPr>
                <w:rFonts w:hint="eastAsia" w:ascii="宋体" w:hAnsi="宋体" w:eastAsia="宋体" w:cs="宋体"/>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w:t>
            </w:r>
          </w:p>
        </w:tc>
        <w:tc>
          <w:tcPr>
            <w:tcW w:w="19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楼层交换机</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锐捷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RG-S5750-28GT-L</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4</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原厂服务/</w:t>
            </w:r>
            <w:r>
              <w:rPr>
                <w:rFonts w:hint="eastAsia" w:ascii="宋体" w:hAnsi="宋体" w:eastAsia="宋体" w:cs="宋体"/>
                <w:bCs/>
                <w:color w:val="000000"/>
                <w:kern w:val="0"/>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7</w:t>
            </w:r>
          </w:p>
        </w:tc>
        <w:tc>
          <w:tcPr>
            <w:tcW w:w="196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电子营业执照接入交换机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（长乐政务云托管）</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锐捷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RG-S5750C-28GT4XS-H</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原厂服务/</w:t>
            </w:r>
            <w:r>
              <w:rPr>
                <w:rFonts w:hint="eastAsia" w:ascii="宋体" w:hAnsi="宋体" w:eastAsia="宋体" w:cs="宋体"/>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trPr>
        <w:tc>
          <w:tcPr>
            <w:tcW w:w="55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8</w:t>
            </w:r>
          </w:p>
        </w:tc>
        <w:tc>
          <w:tcPr>
            <w:tcW w:w="196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总局路由器维保服务</w:t>
            </w:r>
          </w:p>
        </w:tc>
        <w:tc>
          <w:tcPr>
            <w:tcW w:w="2025"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接入路由器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（原国家总局接入）</w:t>
            </w:r>
          </w:p>
        </w:tc>
        <w:tc>
          <w:tcPr>
            <w:tcW w:w="1688"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H3C</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SR6608</w:t>
            </w:r>
          </w:p>
        </w:tc>
        <w:tc>
          <w:tcPr>
            <w:tcW w:w="537"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1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原厂服务/</w:t>
            </w:r>
            <w:r>
              <w:rPr>
                <w:rFonts w:hint="eastAsia" w:ascii="宋体" w:hAnsi="宋体" w:eastAsia="宋体" w:cs="宋体"/>
                <w:sz w:val="24"/>
                <w:szCs w:val="24"/>
                <w:lang w:eastAsia="zh-CN"/>
              </w:rPr>
              <w:t>13个月</w:t>
            </w:r>
          </w:p>
        </w:tc>
      </w:tr>
    </w:tbl>
    <w:p>
      <w:pPr>
        <w:pStyle w:val="16"/>
        <w:widowControl/>
        <w:spacing w:beforeAutospacing="0" w:after="150" w:afterAutospacing="0" w:line="405" w:lineRule="atLeast"/>
        <w:ind w:firstLine="241" w:firstLineChars="100"/>
        <w:rPr>
          <w:rStyle w:val="18"/>
          <w:rFonts w:ascii="仿宋_GB2312" w:hAnsi="仿宋_GB2312" w:eastAsia="仿宋_GB2312" w:cs="仿宋_GB2312"/>
          <w:b w:val="0"/>
          <w:sz w:val="32"/>
          <w:szCs w:val="32"/>
          <w:shd w:val="clear" w:color="auto" w:fill="FFFFFF"/>
        </w:rPr>
      </w:pPr>
      <w:r>
        <w:rPr>
          <w:rStyle w:val="18"/>
          <w:rFonts w:hint="eastAsia" w:ascii="宋体" w:hAnsi="宋体" w:eastAsia="宋体" w:cs="宋体"/>
          <w:i w:val="0"/>
          <w:caps w:val="0"/>
          <w:color w:val="000000"/>
          <w:spacing w:val="0"/>
          <w:sz w:val="24"/>
          <w:szCs w:val="24"/>
        </w:rPr>
        <w:t>1.1</w:t>
      </w:r>
      <w:r>
        <w:rPr>
          <w:rStyle w:val="18"/>
          <w:rFonts w:hint="eastAsia" w:ascii="宋体" w:hAnsi="宋体" w:eastAsia="宋体" w:cs="宋体"/>
          <w:i w:val="0"/>
          <w:caps w:val="0"/>
          <w:color w:val="000000"/>
          <w:spacing w:val="0"/>
          <w:sz w:val="24"/>
          <w:szCs w:val="24"/>
          <w:lang w:val="en-US" w:eastAsia="zh-CN"/>
        </w:rPr>
        <w:t>.2</w:t>
      </w:r>
      <w:r>
        <w:rPr>
          <w:rStyle w:val="18"/>
          <w:rFonts w:hint="eastAsia" w:ascii="宋体" w:hAnsi="宋体" w:eastAsia="宋体" w:cs="宋体"/>
          <w:i w:val="0"/>
          <w:caps w:val="0"/>
          <w:color w:val="000000"/>
          <w:spacing w:val="0"/>
          <w:sz w:val="24"/>
          <w:szCs w:val="24"/>
        </w:rPr>
        <w:t>托管长乐电子政务云服务器</w:t>
      </w:r>
    </w:p>
    <w:tbl>
      <w:tblPr>
        <w:tblStyle w:val="20"/>
        <w:tblW w:w="8467" w:type="dxa"/>
        <w:tblInd w:w="0" w:type="dxa"/>
        <w:tblLayout w:type="fixed"/>
        <w:tblCellMar>
          <w:top w:w="0" w:type="dxa"/>
          <w:left w:w="108" w:type="dxa"/>
          <w:bottom w:w="0" w:type="dxa"/>
          <w:right w:w="108" w:type="dxa"/>
        </w:tblCellMar>
      </w:tblPr>
      <w:tblGrid>
        <w:gridCol w:w="555"/>
        <w:gridCol w:w="2065"/>
        <w:gridCol w:w="1982"/>
        <w:gridCol w:w="1576"/>
        <w:gridCol w:w="552"/>
        <w:gridCol w:w="1737"/>
      </w:tblGrid>
      <w:tr>
        <w:tblPrEx>
          <w:tblLayout w:type="fixed"/>
          <w:tblCellMar>
            <w:top w:w="0" w:type="dxa"/>
            <w:left w:w="108" w:type="dxa"/>
            <w:bottom w:w="0" w:type="dxa"/>
            <w:right w:w="108"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设备描述</w:t>
            </w: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设备名称</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品牌型号</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tblPrEx>
          <w:tblLayout w:type="fixed"/>
          <w:tblCellMar>
            <w:top w:w="0" w:type="dxa"/>
            <w:left w:w="108" w:type="dxa"/>
            <w:bottom w:w="0" w:type="dxa"/>
            <w:right w:w="108" w:type="dxa"/>
          </w:tblCellMar>
        </w:tblPrEx>
        <w:trPr>
          <w:trHeight w:val="0" w:hRule="atLeast"/>
        </w:trPr>
        <w:tc>
          <w:tcPr>
            <w:tcW w:w="5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1</w:t>
            </w:r>
          </w:p>
        </w:tc>
        <w:tc>
          <w:tcPr>
            <w:tcW w:w="20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服务器维保服务</w:t>
            </w:r>
          </w:p>
          <w:p>
            <w:pPr>
              <w:keepNext w:val="0"/>
              <w:keepLines w:val="0"/>
              <w:pageBreakBefore w:val="0"/>
              <w:widowControl/>
              <w:kinsoku/>
              <w:wordWrap/>
              <w:overflowPunct/>
              <w:topLinePunct w:val="0"/>
              <w:autoSpaceDE/>
              <w:autoSpaceDN/>
              <w:bidi w:val="0"/>
              <w:adjustRightInd/>
              <w:snapToGrid/>
              <w:spacing w:line="400" w:lineRule="exact"/>
              <w:ind w:left="-105" w:leftChars="-50" w:right="-105" w:rightChars="-50"/>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（托管长乐政务云）</w:t>
            </w: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国家总局托管服务器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浪潮NF 5280M4</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w:t>
            </w:r>
          </w:p>
        </w:tc>
        <w:tc>
          <w:tcPr>
            <w:tcW w:w="1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Cs/>
                <w:color w:val="000000"/>
                <w:kern w:val="0"/>
                <w:sz w:val="24"/>
                <w:szCs w:val="24"/>
                <w:lang w:eastAsia="zh-CN"/>
              </w:rPr>
            </w:pPr>
            <w:r>
              <w:rPr>
                <w:rFonts w:hint="eastAsia" w:ascii="宋体" w:hAnsi="宋体" w:eastAsia="宋体" w:cs="宋体"/>
                <w:bCs/>
                <w:color w:val="000000"/>
                <w:kern w:val="0"/>
                <w:sz w:val="24"/>
                <w:szCs w:val="24"/>
              </w:rPr>
              <w:t>原厂服务/</w:t>
            </w:r>
            <w:r>
              <w:rPr>
                <w:rFonts w:hint="eastAsia" w:ascii="宋体" w:hAnsi="宋体" w:eastAsia="宋体" w:cs="宋体"/>
                <w:sz w:val="24"/>
                <w:szCs w:val="24"/>
                <w:lang w:eastAsia="zh-CN"/>
              </w:rPr>
              <w:t>13个月</w:t>
            </w:r>
          </w:p>
        </w:tc>
      </w:tr>
    </w:tbl>
    <w:p>
      <w:pPr>
        <w:pStyle w:val="16"/>
        <w:widowControl/>
        <w:spacing w:beforeAutospacing="0" w:after="150" w:afterAutospacing="0" w:line="405" w:lineRule="atLeast"/>
        <w:rPr>
          <w:rFonts w:ascii="仿宋_GB2312" w:hAnsi="仿宋_GB2312" w:eastAsia="仿宋_GB2312" w:cs="仿宋_GB2312"/>
          <w:sz w:val="32"/>
          <w:szCs w:val="32"/>
        </w:rPr>
      </w:pPr>
      <w:r>
        <w:rPr>
          <w:rStyle w:val="18"/>
          <w:rFonts w:hint="eastAsia" w:ascii="宋体" w:hAnsi="宋体" w:eastAsia="宋体" w:cs="宋体"/>
          <w:i w:val="0"/>
          <w:caps w:val="0"/>
          <w:color w:val="000000"/>
          <w:spacing w:val="0"/>
          <w:sz w:val="24"/>
          <w:szCs w:val="24"/>
        </w:rPr>
        <w:t>1.2服务内容</w:t>
      </w:r>
    </w:p>
    <w:tbl>
      <w:tblPr>
        <w:tblStyle w:val="20"/>
        <w:tblW w:w="8600"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854"/>
        <w:gridCol w:w="1453"/>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260" w:hRule="atLeast"/>
        </w:trPr>
        <w:tc>
          <w:tcPr>
            <w:tcW w:w="854"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5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629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1505" w:hRule="atLeast"/>
        </w:trPr>
        <w:tc>
          <w:tcPr>
            <w:tcW w:w="854"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5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网络运维</w:t>
            </w:r>
          </w:p>
        </w:tc>
        <w:tc>
          <w:tcPr>
            <w:tcW w:w="629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政务外网（市场监管专区），局机关互联网、政务信息网等，全省视频会议网络，联接总局网络及相关网络设备、安全设备运维；全省政务外网（市场监管专区）IP地址管理规划、接入点技术支持及相关服务；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579" w:hRule="atLeast"/>
        </w:trPr>
        <w:tc>
          <w:tcPr>
            <w:tcW w:w="854"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2</w:t>
            </w:r>
          </w:p>
        </w:tc>
        <w:tc>
          <w:tcPr>
            <w:tcW w:w="145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省市场监管局驻点服务</w:t>
            </w:r>
          </w:p>
        </w:tc>
        <w:tc>
          <w:tcPr>
            <w:tcW w:w="6293" w:type="dxa"/>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服务内容：</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1.华林路办公区、五四路办公区办公终端运维（根据设备供应商的服务承诺进行维护的除外），其中X86终端500台左右，信创终端450台；</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2.华林路办公区、五四路办公区局域网维护；</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3.华林路办公区、五四路办公区长期驻点现场运维服务（3人或以上）</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auto"/>
                <w:kern w:val="0"/>
                <w:sz w:val="24"/>
                <w:szCs w:val="24"/>
                <w:lang w:val="en-US" w:eastAsia="zh-CN"/>
              </w:rPr>
              <w:t>4.在终端运维时，免费提供终端使用的KVM切换器及小交换机。</w:t>
            </w:r>
          </w:p>
        </w:tc>
      </w:tr>
    </w:tbl>
    <w:p>
      <w:pPr>
        <w:pStyle w:val="16"/>
        <w:widowControl/>
        <w:spacing w:beforeAutospacing="0" w:after="150" w:afterAutospacing="0" w:line="405" w:lineRule="atLeast"/>
        <w:ind w:left="60"/>
        <w:rPr>
          <w:rFonts w:hint="eastAsia" w:asciiTheme="minorEastAsia" w:hAnsiTheme="minorEastAsia" w:eastAsiaTheme="minorEastAsia" w:cstheme="minorEastAsia"/>
          <w:i w:val="0"/>
          <w:caps w:val="0"/>
          <w:color w:val="000000"/>
          <w:spacing w:val="0"/>
          <w:sz w:val="24"/>
          <w:szCs w:val="24"/>
        </w:rPr>
      </w:pPr>
      <w:r>
        <w:rPr>
          <w:rStyle w:val="18"/>
          <w:rFonts w:hint="eastAsia" w:asciiTheme="minorEastAsia" w:hAnsiTheme="minorEastAsia" w:eastAsiaTheme="minorEastAsia" w:cstheme="minorEastAsia"/>
          <w:i w:val="0"/>
          <w:caps w:val="0"/>
          <w:color w:val="000000"/>
          <w:spacing w:val="0"/>
          <w:sz w:val="24"/>
          <w:szCs w:val="24"/>
        </w:rPr>
        <w:t>2、维保服务内容及实施要求</w:t>
      </w:r>
    </w:p>
    <w:p>
      <w:pPr>
        <w:pStyle w:val="16"/>
        <w:keepNext w:val="0"/>
        <w:keepLines w:val="0"/>
        <w:widowControl/>
        <w:suppressLineNumbers w:val="0"/>
        <w:spacing w:before="0" w:beforeAutospacing="1" w:after="0" w:afterAutospacing="1" w:line="360" w:lineRule="atLeast"/>
        <w:ind w:left="0" w:firstLine="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2.1维保服务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shd w:val="clear" w:fill="FFFFFF"/>
        </w:rPr>
        <w:t>1)</w:t>
      </w:r>
      <w:r>
        <w:rPr>
          <w:rFonts w:hint="eastAsia" w:asciiTheme="minorEastAsia" w:hAnsiTheme="minorEastAsia" w:eastAsiaTheme="minorEastAsia" w:cstheme="minorEastAsia"/>
          <w:i w:val="0"/>
          <w:caps w:val="0"/>
          <w:color w:val="000000"/>
          <w:spacing w:val="0"/>
          <w:sz w:val="24"/>
          <w:szCs w:val="24"/>
        </w:rPr>
        <w:t>本次招标为福建省市场监管局信息系统关键设备维保服务项目，主要含以下三个部分：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i网络设备维保服务（全省视频会议H3C网络设备维保服务、省局锐捷网络设备维保服务）；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ii托管长乐政务云服务器设备维保服务（仅包含服务器硬件维护）；</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iii网络安全运行维护服务、省市监局驻场运维服务、网络运行维护服务（全省政务外网（市场专网）、全省视频会议网络线路及国家总局网络线路，不含运营商线路）。</w:t>
      </w:r>
    </w:p>
    <w:p>
      <w:pPr>
        <w:pStyle w:val="16"/>
        <w:keepNext w:val="0"/>
        <w:keepLines w:val="0"/>
        <w:widowControl/>
        <w:suppressLineNumbers w:val="0"/>
        <w:spacing w:before="0" w:beforeAutospacing="1" w:after="0" w:afterAutospacing="1" w:line="360" w:lineRule="atLeast"/>
        <w:ind w:left="0" w:firstLine="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需要为上述维保服务范围内的设备提供5×8小时现场值守服务及7×24小时技术支持服务，具体服务内容包括：</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shd w:val="clear" w:fill="FFFFFF"/>
        </w:rPr>
        <w:t>★2)</w:t>
      </w:r>
      <w:r>
        <w:rPr>
          <w:rFonts w:hint="eastAsia" w:asciiTheme="minorEastAsia" w:hAnsiTheme="minorEastAsia" w:eastAsiaTheme="minorEastAsia" w:cstheme="minorEastAsia"/>
          <w:i w:val="0"/>
          <w:caps w:val="0"/>
          <w:color w:val="000000"/>
          <w:spacing w:val="0"/>
          <w:sz w:val="24"/>
          <w:szCs w:val="24"/>
        </w:rPr>
        <w:t>驻场服务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项目需3名技术人员驻场提供维护服务，分别省局五四路办公区和华林路办公区驻点。驻场人员须遵守局机关考勤制度，并及时完成日常运维工作。遇到驻场人员无法解决的问题时，应及时联系后端运维团队人员到采购人现场进行运维故障处理工作。</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驻场工程师要求：</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驻场工程师要求具备丰富熟练的信息系统运维能力、网络故障处理能力；熟悉计算机操作系统（包括LINUX、WINDOWS等）的常用指令，了解常见办公设备、网络设备、网络安全设备日常故障排障和设备配置，具有良好的沟通能力与高度的工作责任心，能够较快熟悉、掌握业务流程。合同期内，驻场人员未经采购人同意，不得随意变更。若经采购人同意的，变更的人员资质不得低于原招标文件要求。</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★3)网络运维服务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中标人需要提供网络安全运行维护、全省网络线路运维等维保服务，相关服务技术要求如下：</w:t>
      </w:r>
    </w:p>
    <w:tbl>
      <w:tblPr>
        <w:tblStyle w:val="20"/>
        <w:tblW w:w="872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7" w:type="dxa"/>
          <w:left w:w="17" w:type="dxa"/>
          <w:bottom w:w="17" w:type="dxa"/>
          <w:right w:w="17" w:type="dxa"/>
        </w:tblCellMar>
      </w:tblPr>
      <w:tblGrid>
        <w:gridCol w:w="569"/>
        <w:gridCol w:w="1629"/>
        <w:gridCol w:w="2210"/>
        <w:gridCol w:w="43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7" w:type="dxa"/>
            <w:left w:w="17" w:type="dxa"/>
            <w:bottom w:w="17" w:type="dxa"/>
            <w:right w:w="17" w:type="dxa"/>
          </w:tblCellMar>
        </w:tblPrEx>
        <w:tc>
          <w:tcPr>
            <w:tcW w:w="56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i w:val="0"/>
                <w:caps w:val="0"/>
                <w:color w:val="000000"/>
                <w:spacing w:val="0"/>
                <w:sz w:val="24"/>
                <w:szCs w:val="24"/>
              </w:rPr>
              <w:t>序号</w:t>
            </w:r>
          </w:p>
        </w:tc>
        <w:tc>
          <w:tcPr>
            <w:tcW w:w="162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i w:val="0"/>
                <w:caps w:val="0"/>
                <w:color w:val="000000"/>
                <w:spacing w:val="0"/>
                <w:sz w:val="24"/>
                <w:szCs w:val="24"/>
              </w:rPr>
              <w:t>主要系统和设备</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i w:val="0"/>
                <w:caps w:val="0"/>
                <w:color w:val="000000"/>
                <w:spacing w:val="0"/>
                <w:sz w:val="24"/>
                <w:szCs w:val="24"/>
              </w:rPr>
              <w:t>主要内容</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Style w:val="18"/>
                <w:rFonts w:hint="eastAsia" w:asciiTheme="minorEastAsia" w:hAnsiTheme="minorEastAsia" w:eastAsiaTheme="minorEastAsia" w:cstheme="minorEastAsia"/>
                <w:i w:val="0"/>
                <w:caps w:val="0"/>
                <w:color w:val="000000"/>
                <w:spacing w:val="0"/>
                <w:sz w:val="24"/>
                <w:szCs w:val="24"/>
              </w:rPr>
              <w:t>主要技术要求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1</w:t>
            </w:r>
          </w:p>
        </w:tc>
        <w:tc>
          <w:tcPr>
            <w:tcW w:w="162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服务器（含操作系统）</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服务器主机硬件及环境保养</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检查服务器主机的运行状态，包括主机告警状态、电源运行状态、风扇运行状态等。进行必要的物理清洁等环境保养维护。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建立服务器配置信息并维护配置信息</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对服务器的硬件属性（CPU、内存、硬盘、IP地址及网络连接情况等）及软件属性（操作系统）等情况进行调查明确，并对其进行维护。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服务器故障检测及排除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判定故障原因，给予解决方案。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2</w:t>
            </w:r>
          </w:p>
        </w:tc>
        <w:tc>
          <w:tcPr>
            <w:tcW w:w="162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网络及安全设备</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网络及安全设备及环境保养</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检查网络及安全设备的运行状态，进行必要的物理清洁等环境保养维护。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网络及安全设备系统性能日常维护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进行配置检查，及时将网络及安全设备配置备份至用户指   定位置。完成网络配置与调试。对网络性能（网络链路、网络流量、网络延时等）进行监控。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网络及安全设备系统故障检测及排除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根据不同故障类型制定相应的故障排除策略与操作流程并严格执行。网络故障的分析和修复，并跟进解决，直至故障修复。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网络及安全设备主机维护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进行设备维护、配件更换。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3</w:t>
            </w:r>
          </w:p>
        </w:tc>
        <w:tc>
          <w:tcPr>
            <w:tcW w:w="1629"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线路运维</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线路运维</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提供线路故障处理、常规巡检等服务。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4</w:t>
            </w:r>
          </w:p>
        </w:tc>
        <w:tc>
          <w:tcPr>
            <w:tcW w:w="162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机房环境</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机房物理环境定期巡检</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检查机房内的物理环境情况进行定期巡检</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cstheme="minorEastAsia"/>
                <w:i w:val="0"/>
                <w:caps w:val="0"/>
                <w:color w:val="000000"/>
                <w:spacing w:val="0"/>
                <w:sz w:val="24"/>
                <w:szCs w:val="24"/>
                <w:lang w:val="en-US" w:eastAsia="zh-CN"/>
              </w:rPr>
              <w:t>每月</w:t>
            </w:r>
            <w:r>
              <w:rPr>
                <w:rFonts w:hint="eastAsia" w:asciiTheme="minorEastAsia" w:hAnsiTheme="minorEastAsia" w:cstheme="minorEastAsia"/>
                <w:i w:val="0"/>
                <w:caps w:val="0"/>
                <w:color w:val="000000"/>
                <w:spacing w:val="0"/>
                <w:sz w:val="24"/>
                <w:szCs w:val="24"/>
                <w:lang w:eastAsia="zh-CN"/>
              </w:rPr>
              <w:t>）</w:t>
            </w:r>
            <w:r>
              <w:rPr>
                <w:rFonts w:hint="eastAsia" w:asciiTheme="minorEastAsia" w:hAnsiTheme="minorEastAsia" w:eastAsiaTheme="minorEastAsia" w:cstheme="minorEastAsia"/>
                <w:i w:val="0"/>
                <w:caps w:val="0"/>
                <w:color w:val="000000"/>
                <w:spacing w:val="0"/>
                <w:sz w:val="24"/>
                <w:szCs w:val="24"/>
              </w:rPr>
              <w:t>，并对环境清洁进行维护。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机房日常维护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检查机房内照明系统、空调系统是否正常运行，进行必要的物理清洁等环境保养维护。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安全策略制定和更新</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检查用户机房设备的安全策略是否满足用户业务系统整体需求，更新至最佳的安全策略。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5</w:t>
            </w:r>
          </w:p>
        </w:tc>
        <w:tc>
          <w:tcPr>
            <w:tcW w:w="162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终端设备</w:t>
            </w: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设备硬件运维</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严格遵守电子信息类设备维修管理的有关操作流程规范，在规定时间内完成故障设备的维修。完成采购人电子信息类设备的登记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设备相关软件运维</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包括：操作系统的安装、调试及升级；杀毒软件安装与病毒库升级、外设（打印机、扫描仪等设备）的相关驱动程序及软件的安装调试；经采购人授权进行软件安装、升级并排除软件使用过程中的故障；解决软件冲突造成的系统故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系统性能日常维护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进行进程管理、网络访问管理、补丁版本检查，协助用户及时将个人电脑操作系统补丁更新至最新版本。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7" w:type="dxa"/>
            <w:left w:w="17" w:type="dxa"/>
            <w:bottom w:w="17" w:type="dxa"/>
            <w:right w:w="17" w:type="dxa"/>
          </w:tblCellMar>
        </w:tblPrEx>
        <w:tc>
          <w:tcPr>
            <w:tcW w:w="5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162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rPr>
                <w:rFonts w:hint="eastAsia" w:asciiTheme="minorEastAsia" w:hAnsiTheme="minorEastAsia" w:eastAsiaTheme="minorEastAsia" w:cstheme="minorEastAsia"/>
                <w:i w:val="0"/>
                <w:caps w:val="0"/>
                <w:color w:val="000000"/>
                <w:spacing w:val="0"/>
                <w:sz w:val="24"/>
                <w:szCs w:val="24"/>
              </w:rPr>
            </w:pPr>
          </w:p>
        </w:tc>
        <w:tc>
          <w:tcPr>
            <w:tcW w:w="221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客户端数据维护</w:t>
            </w:r>
          </w:p>
        </w:tc>
        <w:tc>
          <w:tcPr>
            <w:tcW w:w="4320"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16"/>
              <w:keepNext w:val="0"/>
              <w:keepLines w:val="0"/>
              <w:widowControl/>
              <w:suppressLineNumbers w:val="0"/>
              <w:spacing w:before="0" w:beforeAutospacing="1" w:after="0" w:afterAutospacing="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caps w:val="0"/>
                <w:color w:val="000000"/>
                <w:spacing w:val="0"/>
                <w:sz w:val="24"/>
                <w:szCs w:val="24"/>
              </w:rPr>
              <w:t>对于需送专业维修商检测维修的设备，协助采购人对于敏感或重要的数据进行安全保密处理；备份指定数据。</w:t>
            </w:r>
          </w:p>
        </w:tc>
      </w:tr>
    </w:tbl>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4) 远程服务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a、采购人省、市、县、乡镇所各级单位业务专网均通过“政务外网（市场监管专区）”进行接入。如该网络遇到异常问题时，中标人须具备远程服务能力，在采购人要求的应急响应时间内协助采购人处理解决异常情况。</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b、采购人省、市、县、乡镇所各级单位视频会议均通过独立“视频会议专网”进行接入。如该网络遇到异常问题时，中标人须具备远程服务能力，在采购人要求的应急响应时间内协助采购人处理解决异常情况；如远程无法解决的问题或涉及设备故障硬件替换，中标人应及时协调运维人员前往现场提供技术支持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5) 现场技术支持服务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根据设备运行中标人须做到电话以及远程技术支持服务15分钟响应，重大故障福州市区内1小时现场支持响应、长乐区2小时现场支持响应；厦门、莆田、泉州、南平、三明、宁德、漳州4小时现场支持响应；龙岩5小时现场支持响应。提供包括设备运行维护、口令修改、设备配置调整、设备硬件巡检等服务支持。</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6) 故障处理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针对故障的响应服务，中标人须做到电话以及远程技术支持服务15分钟响应，重大故障福州市区内1小时现场支持响应、长乐区2小时现场支持响应；厦门、莆田、泉州、南平、三明、宁德、漳州4小时现场支持响应；龙岩5小时现场支持响应。提供故障诊断，故障处理，系统恢复，数据备份等服务支持。</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7) 应急支持</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针对以下任务引起的响应服务要求，中标人应按采购人要求与其他技术支撑单位密切配合，做好处置预案，安排相关技术人员提供7*24小时现场支持响应直至任务结束。</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a、福建省市场监管信息软硬件系统上线、升级、维护等；</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b、重大活动安排技术支撑；</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c、台风、洪涝、高温天气等应急支撑；   </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d、系统故障应急处置。</w:t>
      </w:r>
    </w:p>
    <w:p>
      <w:pPr>
        <w:pStyle w:val="16"/>
        <w:keepNext w:val="0"/>
        <w:keepLines w:val="0"/>
        <w:widowControl/>
        <w:suppressLineNumbers w:val="0"/>
        <w:spacing w:before="0" w:beforeAutospacing="1" w:after="0" w:afterAutospacing="1" w:line="360" w:lineRule="atLeast"/>
        <w:ind w:left="0" w:firstLine="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2.2 实施要求</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（1）运维管理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为履行本项目运维服务外包工作质量的检查和监督职责。中标人应按照项目管理的方法，需指定一名项目经理负责对接省市场监管相关运维工作，接受绩效管理和监督管理，依据省市场监管有关规定做好承担的运维工作。</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（2）资产保管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具有承担保管运维范围内全部资产的义务，并根据省市场监管有关规定签署《信息化资产保管协议》，编制固定资产保管清单，严格按照资产清单进行规范管理，对所维护的硬件、软件的变更及时进行更新登记，包括流程图、线路图、系统图、设备清单等文档记录；对资产的遗失应承担赔偿责任。</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（3）文档管理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中标人需要根据市场监管信息系统的功能和特点，做好运维过程的所有文档的记录和归档工作，包括各种形式的服务总结、工作汇报、技术方案以及往来的传真、邮件等。</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（4）安全管理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中标人必须服从省市场监管对网络与信息安全的各项管理规定和要求，按照省市场监管有关规定签署《信息安全协议》。对因工作疏失出现的网络与信息安全责任事故，必须承担相应责任，接受惩处。</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（5）保密管理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对在运维过程中所接触到采购人的业务信息及技术资料等内部资料，负有保密义务。未经采购人书面许可，中标人不得向任何第三方披露，不得将保密资料的部分或全部用于本合同约定事项以外的其他用途。中标人有义务对保密资料采取必要的保护手段予以保护。中标人仅可为项目履约目的向其内部有知悉保密资料必要的雇员披露保密资料，但同时须指示其雇员遵守本条规定的保密及不披露义务。</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（6）人员管理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根据省市场监管的有关工作制度，如作息时间、考勤制度、重大活动保障制度、应急事件管理规定等，制定有关规范对常驻省市场监管的技术人员进行管理，中标人投标文件与省市场监管有关工作制度不一致的，以省市场监管工作制度为准。</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（7）绩效考核</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中标人应该依据招标文件，以提供优质的信息服务产品为工作目标，建立工作规范、服务流程和管理制度等。</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ａ、合同生效后，采购人依据招投标文件和合同要求对中标人上门保修响应时间、修复时效、维保结果、故障品返修或更换等环节进行能力测评，依照保修次数逐项进行绩效考核。</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ｂ、中标人派驻人员应严格遵守采购人单位考勤、安全等各项管理制度要求，服从采购人统筹调配。</w:t>
      </w:r>
    </w:p>
    <w:p>
      <w:pPr>
        <w:pStyle w:val="16"/>
        <w:keepNext w:val="0"/>
        <w:keepLines w:val="0"/>
        <w:widowControl/>
        <w:suppressLineNumbers w:val="0"/>
        <w:spacing w:before="0" w:beforeAutospacing="1" w:after="0" w:afterAutospacing="1" w:line="360" w:lineRule="atLeast"/>
        <w:ind w:left="0" w:firstLine="390"/>
        <w:jc w:val="left"/>
        <w:rPr>
          <w:rFonts w:hint="eastAsia" w:asciiTheme="minorEastAsia" w:hAnsiTheme="minorEastAsia" w:eastAsiaTheme="minorEastAsia" w:cstheme="minorEastAsia"/>
          <w:i w:val="0"/>
          <w:caps w:val="0"/>
          <w:color w:val="000000"/>
          <w:spacing w:val="0"/>
          <w:sz w:val="24"/>
          <w:szCs w:val="24"/>
        </w:rPr>
      </w:pPr>
      <w:r>
        <w:rPr>
          <w:rFonts w:hint="eastAsia" w:asciiTheme="minorEastAsia" w:hAnsiTheme="minorEastAsia" w:eastAsiaTheme="minorEastAsia" w:cstheme="minorEastAsia"/>
          <w:i w:val="0"/>
          <w:caps w:val="0"/>
          <w:color w:val="000000"/>
          <w:spacing w:val="0"/>
          <w:sz w:val="24"/>
          <w:szCs w:val="24"/>
        </w:rPr>
        <w:t>（8）其他要求</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0" w:firstLineChars="200"/>
        <w:outlineLvl w:val="9"/>
        <w:rPr>
          <w:rFonts w:hint="eastAsia" w:ascii="宋体" w:hAnsi="宋体" w:eastAsia="宋体" w:cs="宋体"/>
          <w:b/>
          <w:bCs w:val="0"/>
          <w:color w:val="auto"/>
          <w:sz w:val="24"/>
          <w:szCs w:val="24"/>
          <w:lang w:eastAsia="zh-CN"/>
        </w:rPr>
      </w:pPr>
      <w:r>
        <w:rPr>
          <w:rFonts w:hint="eastAsia" w:asciiTheme="minorEastAsia" w:hAnsiTheme="minorEastAsia" w:eastAsiaTheme="minorEastAsia" w:cstheme="minorEastAsia"/>
          <w:i w:val="0"/>
          <w:caps w:val="0"/>
          <w:color w:val="000000"/>
          <w:spacing w:val="0"/>
          <w:sz w:val="24"/>
          <w:szCs w:val="24"/>
        </w:rPr>
        <w:t>中标人对运维设备的关键参数更改应事先征得省市场监管管理部门</w:t>
      </w:r>
      <w:r>
        <w:rPr>
          <w:rFonts w:hint="eastAsia" w:asciiTheme="minorEastAsia" w:hAnsiTheme="minorEastAsia" w:cstheme="minorEastAsia"/>
          <w:i w:val="0"/>
          <w:caps w:val="0"/>
          <w:color w:val="000000"/>
          <w:spacing w:val="0"/>
          <w:sz w:val="24"/>
          <w:szCs w:val="24"/>
          <w:lang w:val="en-US" w:eastAsia="zh-CN"/>
        </w:rPr>
        <w:t>或技术部门</w:t>
      </w:r>
      <w:r>
        <w:rPr>
          <w:rFonts w:hint="eastAsia" w:asciiTheme="minorEastAsia" w:hAnsiTheme="minorEastAsia" w:eastAsiaTheme="minorEastAsia" w:cstheme="minorEastAsia"/>
          <w:i w:val="0"/>
          <w:caps w:val="0"/>
          <w:color w:val="000000"/>
          <w:spacing w:val="0"/>
          <w:sz w:val="24"/>
          <w:szCs w:val="24"/>
        </w:rPr>
        <w:t>同意，并做好更新登记工作；非正常上班时，遇有紧急情况，中标人的派驻人员接通知后应在半小时内到达维保地点；遇有应急处理情况，中标人应保证提供7×24小时服务。</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241" w:firstLineChars="100"/>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二</w:t>
      </w:r>
      <w:r>
        <w:rPr>
          <w:rFonts w:hint="eastAsia" w:ascii="宋体" w:hAnsi="宋体" w:eastAsia="宋体" w:cs="宋体"/>
          <w:b/>
          <w:bCs w:val="0"/>
          <w:color w:val="auto"/>
          <w:sz w:val="24"/>
          <w:szCs w:val="24"/>
          <w:lang w:eastAsia="zh-CN"/>
        </w:rPr>
        <w:t>）全省视频会议系统维保</w:t>
      </w:r>
      <w:r>
        <w:rPr>
          <w:rFonts w:hint="eastAsia" w:ascii="宋体" w:hAnsi="宋体" w:eastAsia="宋体" w:cs="宋体"/>
          <w:b/>
          <w:sz w:val="24"/>
          <w:lang w:eastAsia="zh-CN"/>
        </w:rPr>
        <w:t>及运维服务</w:t>
      </w:r>
    </w:p>
    <w:p>
      <w:pPr>
        <w:ind w:firstLine="480" w:firstLineChars="200"/>
        <w:outlineLvl w:val="9"/>
        <w:rPr>
          <w:rFonts w:hint="eastAsia" w:ascii="宋体" w:hAnsi="宋体" w:eastAsia="宋体" w:cs="宋体"/>
          <w:b w:val="0"/>
          <w:bCs/>
          <w:sz w:val="24"/>
          <w:szCs w:val="24"/>
          <w:shd w:val="clear" w:fill="FFFFFF"/>
        </w:rPr>
      </w:pPr>
      <w:r>
        <w:rPr>
          <w:rFonts w:hint="eastAsia" w:ascii="宋体" w:hAnsi="宋体" w:cs="宋体"/>
          <w:b w:val="0"/>
          <w:bCs/>
          <w:sz w:val="24"/>
          <w:szCs w:val="24"/>
          <w:shd w:val="clear" w:fill="FFFFFF"/>
          <w:lang w:val="en-US" w:eastAsia="zh-CN"/>
        </w:rPr>
        <w:t>按甲方指定的日期开始，提供13个月的服务</w:t>
      </w:r>
      <w:r>
        <w:rPr>
          <w:rFonts w:hint="eastAsia" w:ascii="宋体" w:hAnsi="宋体" w:eastAsia="宋体" w:cs="宋体"/>
          <w:b w:val="0"/>
          <w:bCs/>
          <w:sz w:val="24"/>
          <w:szCs w:val="24"/>
          <w:shd w:val="clear" w:fill="FFFFFF"/>
        </w:rPr>
        <w:t>。</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运维服务清单</w:t>
      </w:r>
    </w:p>
    <w:tbl>
      <w:tblPr>
        <w:tblStyle w:val="20"/>
        <w:tblW w:w="8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589"/>
        <w:gridCol w:w="3212"/>
        <w:gridCol w:w="1113"/>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序号</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产品名称</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品牌型号</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数量</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3" w:type="dxa"/>
            <w:gridSpan w:val="5"/>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视频会议系统及后保中心多媒体系统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远程技术支持服务</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远程技术支持服务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备品备件服务</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备品备件服务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现场支持服务</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现场支持服务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现场巡检服务-3T</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（1）每6个月提供1次视频会议系统省、设区市级主要设备的现场巡检服务。</w:t>
            </w:r>
          </w:p>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（2）合同结束前1个月提供1次全省设区市级总巡检。</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远程巡检服务-2T</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每6个月提供1次视频会议系统县级设备的远程巡检服务。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会议保障服务</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为市场监督管理局提供专业化视频会议会控保障服务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培训服务</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提供1次全省性的视频会议系统操作培训</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89"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现场巡检服务-2T（后保中心多媒体系统）</w:t>
            </w:r>
          </w:p>
        </w:tc>
        <w:tc>
          <w:tcPr>
            <w:tcW w:w="3212"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每6个月提供1次后保中心多媒体系统的现场巡检服务。</w:t>
            </w:r>
          </w:p>
        </w:tc>
        <w:tc>
          <w:tcPr>
            <w:tcW w:w="111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3" w:type="dxa"/>
            <w:gridSpan w:val="5"/>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华林路办公区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89"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现场技术支持</w:t>
            </w:r>
          </w:p>
        </w:tc>
        <w:tc>
          <w:tcPr>
            <w:tcW w:w="3212"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现场技术支持：根据客户实际要求，提供系统培训、故障技术支持、会议保障。</w:t>
            </w:r>
          </w:p>
        </w:tc>
        <w:tc>
          <w:tcPr>
            <w:tcW w:w="111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89"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现场巡检服务-2T（省局22楼会议室）</w:t>
            </w:r>
          </w:p>
        </w:tc>
        <w:tc>
          <w:tcPr>
            <w:tcW w:w="3212"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每6个月提供1次省局22楼会议室多媒体设备的现场巡检服务。</w:t>
            </w:r>
          </w:p>
        </w:tc>
        <w:tc>
          <w:tcPr>
            <w:tcW w:w="111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89"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现场巡检服务-2T（省局303会议室）</w:t>
            </w:r>
          </w:p>
        </w:tc>
        <w:tc>
          <w:tcPr>
            <w:tcW w:w="3212"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每6个月提供1次省局303会议室多媒体设备的现场巡检服务。</w:t>
            </w:r>
          </w:p>
        </w:tc>
        <w:tc>
          <w:tcPr>
            <w:tcW w:w="111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89"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线缆及配件</w:t>
            </w:r>
          </w:p>
        </w:tc>
        <w:tc>
          <w:tcPr>
            <w:tcW w:w="3212"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线缆及配件</w:t>
            </w:r>
          </w:p>
        </w:tc>
        <w:tc>
          <w:tcPr>
            <w:tcW w:w="111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1项</w:t>
            </w:r>
          </w:p>
        </w:tc>
        <w:tc>
          <w:tcPr>
            <w:tcW w:w="105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1.2维保清单</w:t>
      </w:r>
    </w:p>
    <w:tbl>
      <w:tblPr>
        <w:tblStyle w:val="20"/>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591"/>
        <w:gridCol w:w="3216"/>
        <w:gridCol w:w="1104"/>
        <w:gridCol w:w="1053"/>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序号</w:t>
            </w:r>
          </w:p>
        </w:tc>
        <w:tc>
          <w:tcPr>
            <w:tcW w:w="2591"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产品名称</w:t>
            </w:r>
          </w:p>
        </w:tc>
        <w:tc>
          <w:tcPr>
            <w:tcW w:w="3216"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品牌型号</w:t>
            </w:r>
          </w:p>
        </w:tc>
        <w:tc>
          <w:tcPr>
            <w:tcW w:w="1104"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数量</w:t>
            </w:r>
          </w:p>
        </w:tc>
        <w:tc>
          <w:tcPr>
            <w:tcW w:w="1053"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8489" w:type="dxa"/>
            <w:gridSpan w:val="5"/>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视频会议系统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vMerge w:val="restart"/>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91" w:type="dxa"/>
            <w:vMerge w:val="restart"/>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MCU</w:t>
            </w:r>
          </w:p>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8650</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w:t>
            </w:r>
          </w:p>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8650-VC0B1MCUB-交直流一体化机箱（含背板）</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591"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通用中心控制板</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10块</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591"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高密度媒体处理板C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1块</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591"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高密度媒体处理板D</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12块</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591" w:type="dxa"/>
            <w:vMerge w:val="continue"/>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交流电源模块</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20个</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GK/RMCC软件</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GK/RMCC软件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10套</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服务器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IBM X3550</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PC服务器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联想 启天M690E</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高清终端</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9036</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标清终端</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8036</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高清摄像头</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EVI-HD1</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高清摄像头</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Z700</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标清摄像头</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D70P</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90台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录播服务器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VideoCon VRS4000</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标清摄像头</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汉锐HR 8309</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标清摄像头</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D80P</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8489" w:type="dxa"/>
            <w:gridSpan w:val="5"/>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后保中心多媒体系统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LED室内P2.5全彩屏（4.8m*2.56m）</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华美</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12.3㎡</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控制卡</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华美</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45张</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视频处理器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华美</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LED屏用配电柜</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华美定制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1个</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32寸液晶电视</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定制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60寸液晶电视</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定制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画面分割器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迈拓 MT-MVP04</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倍线切换器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定制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高清会议摄像机-广角</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摄像机升降器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定制</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键盘控制器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RM-BR300</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高清混合矩阵</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 MATRIX3636</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HDMI双绞线传输器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8对</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可编辑中控主机</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中控触摸平板</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无线路由器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华为</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1个</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电源时序器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8路多串口器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强电继电器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高清会议录播主机</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中央控制面板</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监听音箱</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ITC</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调音台</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雅马哈</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场地监控摄像机</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海康</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25</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监控主机</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海康</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16" w:type="dxa"/>
            <w:gridSpan w:val="6"/>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22楼主会场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有源主音箱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K12</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有源返送音箱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K10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有源超低音箱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K-SUB</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有源辅助音箱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K-8</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24路4编组调音台</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雅马哈MGP24 X</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2*6 数字处理器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RANE BPM 26Z</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数字效果器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YAMAHA SPX2000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80" w:type="dxa"/>
            <w:gridSpan w:val="2"/>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91"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音频分配器</w:t>
            </w:r>
          </w:p>
        </w:tc>
        <w:tc>
          <w:tcPr>
            <w:tcW w:w="3216"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百灵达MX882</w:t>
            </w:r>
          </w:p>
        </w:tc>
        <w:tc>
          <w:tcPr>
            <w:tcW w:w="1104" w:type="dxa"/>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80" w:type="dxa"/>
            <w:gridSpan w:val="2"/>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会议系统主机</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BOSCH DCN-CCUB</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桌面式纯讨论代表单元</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BOSCH DCN-DISL-DCN+DCN-DISR-SR</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60寸液晶电视</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22楼会场各种音视频线、地插、网络线路的通畅可用。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color w:val="FF0000"/>
                <w:sz w:val="24"/>
                <w:szCs w:val="24"/>
                <w:lang w:val="en-US" w:eastAsia="zh-CN"/>
              </w:rPr>
            </w:pPr>
            <w:r>
              <w:rPr>
                <w:rFonts w:hint="eastAsia" w:ascii="宋体" w:hAnsi="宋体" w:cs="宋体"/>
                <w:b w:val="0"/>
                <w:bCs/>
                <w:color w:val="FF0000"/>
                <w:sz w:val="24"/>
                <w:szCs w:val="24"/>
                <w:lang w:val="en-US" w:eastAsia="zh-CN"/>
              </w:rPr>
              <w:t>13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color w:val="FF0000"/>
                <w:sz w:val="24"/>
                <w:szCs w:val="24"/>
                <w:lang w:eastAsia="zh-CN"/>
              </w:rPr>
            </w:pPr>
            <w:r>
              <w:rPr>
                <w:rFonts w:hint="eastAsia" w:ascii="宋体" w:hAnsi="宋体" w:cs="宋体"/>
                <w:b w:val="0"/>
                <w:bCs/>
                <w:color w:val="FF0000"/>
                <w:sz w:val="24"/>
                <w:szCs w:val="24"/>
                <w:lang w:eastAsia="zh-CN"/>
              </w:rPr>
              <w:t>反馈抑制器</w:t>
            </w:r>
          </w:p>
        </w:tc>
        <w:tc>
          <w:tcPr>
            <w:tcW w:w="3216" w:type="dxa"/>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b w:val="0"/>
                <w:bCs/>
                <w:color w:val="FF0000"/>
                <w:sz w:val="24"/>
                <w:szCs w:val="24"/>
              </w:rPr>
            </w:pPr>
            <w:r>
              <w:rPr>
                <w:rFonts w:hint="eastAsia" w:ascii="宋体" w:hAnsi="宋体" w:eastAsia="宋体" w:cs="宋体"/>
                <w:i w:val="0"/>
                <w:color w:val="FF0000"/>
                <w:kern w:val="0"/>
                <w:sz w:val="20"/>
                <w:szCs w:val="20"/>
                <w:u w:val="none"/>
                <w:lang w:val="en-US" w:eastAsia="zh-CN" w:bidi="ar"/>
              </w:rPr>
              <w:t>HT-TD730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color w:val="FF0000"/>
                <w:sz w:val="24"/>
                <w:szCs w:val="24"/>
                <w:lang w:val="en-US" w:eastAsia="zh-CN"/>
              </w:rPr>
            </w:pPr>
            <w:r>
              <w:rPr>
                <w:rFonts w:hint="eastAsia" w:ascii="宋体" w:hAnsi="宋体" w:cs="宋体"/>
                <w:b w:val="0"/>
                <w:bCs/>
                <w:color w:val="FF0000"/>
                <w:sz w:val="24"/>
                <w:szCs w:val="24"/>
                <w:lang w:val="en-US" w:eastAsia="zh-CN"/>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val="0"/>
                <w:bCs/>
                <w:color w:val="FF0000"/>
                <w:sz w:val="24"/>
                <w:szCs w:val="24"/>
                <w:lang w:val="en-US" w:eastAsia="zh-CN"/>
              </w:rPr>
            </w:pPr>
            <w:r>
              <w:rPr>
                <w:rFonts w:hint="eastAsia" w:ascii="宋体" w:hAnsi="宋体" w:cs="宋体"/>
                <w:b w:val="0"/>
                <w:bCs/>
                <w:color w:val="FF0000"/>
                <w:sz w:val="24"/>
                <w:szCs w:val="24"/>
                <w:lang w:val="en-US"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val="0"/>
                <w:bCs/>
                <w:color w:val="FF0000"/>
                <w:sz w:val="24"/>
                <w:szCs w:val="24"/>
                <w:lang w:val="en-US" w:eastAsia="zh-CN"/>
              </w:rPr>
            </w:pPr>
            <w:r>
              <w:rPr>
                <w:rFonts w:hint="eastAsia" w:ascii="宋体" w:hAnsi="宋体" w:cs="宋体"/>
                <w:b w:val="0"/>
                <w:bCs/>
                <w:color w:val="FF0000"/>
                <w:sz w:val="24"/>
                <w:szCs w:val="24"/>
                <w:lang w:val="en-US" w:eastAsia="zh-CN"/>
              </w:rPr>
              <w:t>14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val="0"/>
                <w:bCs/>
                <w:color w:val="FF0000"/>
                <w:sz w:val="24"/>
                <w:szCs w:val="24"/>
                <w:lang w:eastAsia="zh-CN"/>
              </w:rPr>
            </w:pPr>
            <w:r>
              <w:rPr>
                <w:rFonts w:hint="eastAsia" w:ascii="宋体" w:hAnsi="宋体" w:cs="宋体"/>
                <w:b w:val="0"/>
                <w:bCs/>
                <w:color w:val="FF0000"/>
                <w:sz w:val="24"/>
                <w:szCs w:val="24"/>
                <w:lang w:eastAsia="zh-CN"/>
              </w:rPr>
              <w:t>一拖四UHF无线手持话筒</w:t>
            </w:r>
          </w:p>
        </w:tc>
        <w:tc>
          <w:tcPr>
            <w:tcW w:w="3216" w:type="dxa"/>
            <w:shd w:val="clear" w:color="auto" w:fill="FFFFFF"/>
            <w:tcMar>
              <w:top w:w="0" w:type="dxa"/>
              <w:left w:w="105" w:type="dxa"/>
              <w:bottom w:w="0" w:type="dxa"/>
              <w:right w:w="105" w:type="dxa"/>
            </w:tcMar>
            <w:vAlign w:val="center"/>
          </w:tcPr>
          <w:p>
            <w:pPr>
              <w:keepNext w:val="0"/>
              <w:keepLines w:val="0"/>
              <w:widowControl/>
              <w:suppressLineNumbers w:val="0"/>
              <w:jc w:val="center"/>
              <w:textAlignment w:val="center"/>
              <w:rPr>
                <w:rFonts w:hint="eastAsia" w:ascii="宋体" w:hAnsi="宋体" w:eastAsia="宋体" w:cs="宋体"/>
                <w:i w:val="0"/>
                <w:color w:val="FF0000"/>
                <w:kern w:val="0"/>
                <w:sz w:val="20"/>
                <w:szCs w:val="20"/>
                <w:u w:val="none"/>
                <w:lang w:val="en-US" w:eastAsia="zh-CN" w:bidi="ar"/>
              </w:rPr>
            </w:pPr>
            <w:r>
              <w:rPr>
                <w:rFonts w:hint="eastAsia" w:ascii="宋体" w:hAnsi="宋体" w:eastAsia="宋体" w:cs="宋体"/>
                <w:i w:val="0"/>
                <w:color w:val="FF0000"/>
                <w:kern w:val="0"/>
                <w:sz w:val="20"/>
                <w:szCs w:val="20"/>
                <w:u w:val="none"/>
                <w:lang w:val="en-US" w:eastAsia="zh-CN" w:bidi="ar"/>
              </w:rPr>
              <w:t>HT-704UR</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val="0"/>
                <w:bCs/>
                <w:color w:val="FF0000"/>
                <w:sz w:val="24"/>
                <w:szCs w:val="24"/>
                <w:lang w:val="en-US" w:eastAsia="zh-CN"/>
              </w:rPr>
            </w:pPr>
            <w:r>
              <w:rPr>
                <w:rFonts w:hint="eastAsia" w:ascii="宋体" w:hAnsi="宋体" w:cs="宋体"/>
                <w:b w:val="0"/>
                <w:bCs/>
                <w:color w:val="FF0000"/>
                <w:sz w:val="24"/>
                <w:szCs w:val="24"/>
                <w:lang w:val="en-US" w:eastAsia="zh-CN"/>
              </w:rPr>
              <w:t>2套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cs="宋体"/>
                <w:b w:val="0"/>
                <w:bCs/>
                <w:color w:val="FF0000"/>
                <w:sz w:val="24"/>
                <w:szCs w:val="24"/>
                <w:lang w:val="en-US" w:eastAsia="zh-CN"/>
              </w:rPr>
            </w:pPr>
            <w:r>
              <w:rPr>
                <w:rFonts w:hint="eastAsia" w:ascii="宋体" w:hAnsi="宋体" w:cs="宋体"/>
                <w:b w:val="0"/>
                <w:bCs/>
                <w:color w:val="FF0000"/>
                <w:sz w:val="24"/>
                <w:szCs w:val="24"/>
                <w:lang w:val="en-US"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8489" w:type="dxa"/>
            <w:gridSpan w:val="5"/>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2019年22楼改造清单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序号</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设备名称</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品牌型号</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数量</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会议跟踪记录设备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快捷、CR-IRC30MM</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广角全景记录设备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广角全景记录设备【鹏伟、LST-PV30SH】、摄像升降器【宇邑、XDG6-2000】、托盘【定制】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键盘控制器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快捷、CR-MMKEYBOARD</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图像自动跟踪主机</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快捷、CR-MVC6300HD</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数字会议发言设备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品牌：快捷、加密会议控制主机【CR-WiFi6301】、无线会议主席话筒【CR-WiFi6302B】、信号发送器【CR-WF30A】</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数字高清切换设备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快捷、PRO-MAX7272</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DVI输入卡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快捷、PMAX-IN DVI4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VGA输入卡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快捷、PMAX-IN VGA4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HDMI输入卡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快捷、PMAX-IN HDMI4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DVI输出卡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快捷、PMAX-OUT DVI4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VGA输出卡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快捷、PMAX-OUT VGA4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HDMI输出卡</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快捷、PMAX-OUT HDMI4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HDMI双绞线发送器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快捷、CR-uEC HDMI 100T</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HDMI双绞线接收器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快捷、CR-uEC HDMI 100R</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室内高清显示单元（核心产品）</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室内高清P2.5显示屏【蓝普、P2.5】、钢结构单元【定制】、墙面方管拉结【定制】、大屏包边与饰面【定制】、其他配件【定制】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32寸显示单元-含支架</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康佳、LED32G30CE</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60寸显示单元-含电动支架</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康佳、LED65G30UE</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视频处理设备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同步发送卡【诺瓦、MSD300】、同步接收卡【诺瓦、MRV316】、视频处理器【迈普视通、LED-572E】</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屏用配电柜</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屏用配电柜【福佑、XL-3100】、防雷器【安迅、AJ2C-220-G】</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1个</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移动三角推车</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国产、定制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画面分割器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科睿视、KS-HD04FG-1</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倍线切换器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科唯奇、定制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智能中控设备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可编辑中控主机【3A、AS-5100N】、中控面板【华为、BZT-AL00】、信号发射器【华三、WS5200】、智能控制终端【瑞邦、IPCS-1050】、8路多串口器【3A、AS-5232】、智能控制模块【3A、AS-5101】、智能会务管理软件【ITC、TS-9900B】、其他配件【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会议录播设备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品牌：东创、高清会议录播主机【DC-6000】、嵌入式导播软件【DC-2700AT】、中央控制台【DC-6005】、其他配件【定制】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场地监控主机</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天地伟业、TC-NR3020M7-S4</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场地监控设备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天地伟业、TC-NC9201S3E-2MP-E-I3</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管理终端设备-含显示器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联想、主机：M415-D070 显示器：TE24-10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28</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控制操作台</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鑫恒星、1400*800*760mm</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1张</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传输设备</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锐捷、RG-S1920-18GT2SFP</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设备机柜</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鑫恒星、600*800*2000mm</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8489" w:type="dxa"/>
            <w:gridSpan w:val="5"/>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303备用视频会议室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序号</w:t>
            </w:r>
          </w:p>
        </w:tc>
        <w:tc>
          <w:tcPr>
            <w:tcW w:w="2591"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设备名称</w:t>
            </w:r>
          </w:p>
        </w:tc>
        <w:tc>
          <w:tcPr>
            <w:tcW w:w="3216"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品牌型号</w:t>
            </w:r>
          </w:p>
        </w:tc>
        <w:tc>
          <w:tcPr>
            <w:tcW w:w="1104"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数量</w:t>
            </w:r>
          </w:p>
        </w:tc>
        <w:tc>
          <w:tcPr>
            <w:tcW w:w="1053" w:type="dxa"/>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b/>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全频主音箱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AD-S282H</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吸顶式音箱</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AD-C42T</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主扩功放</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RMX 4050HD</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吸顶功放</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QSC RMX 850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手持无线话筒</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AUDIO-TECHNICA ATW2010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16路电源时序器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COROARAC CRR-12PWR</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55寸液晶电视</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8</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壁挂架</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定制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2副</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高清视频会议终端（含视频终端摄像头）</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 xml:space="preserve">支持ITU-T H.323、IETF SIP协议，具有良好的兼容性和开放性。支持IPV4和IPV6双协协议； </w:t>
            </w:r>
          </w:p>
          <w:p>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2.支持并提供64Kbps-8Mbps接入速率；</w:t>
            </w:r>
          </w:p>
          <w:p>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3.支持H.264、H.264 SVC、H.265等图像编码协议；</w:t>
            </w:r>
          </w:p>
          <w:p>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4.支持1080P 50/60 fps、720P 25/30 fps、4CIF、CIF等分辨率；</w:t>
            </w:r>
          </w:p>
          <w:p>
            <w:pPr>
              <w:pStyle w:val="34"/>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rPr>
              <w:t>5.提供3路高清视频输入接口、2路高清视频输出接口</w:t>
            </w:r>
            <w:r>
              <w:rPr>
                <w:rFonts w:hint="eastAsia" w:ascii="宋体" w:hAnsi="宋体" w:eastAsia="宋体" w:cs="宋体"/>
                <w:b w:val="0"/>
                <w:bCs/>
                <w:sz w:val="24"/>
                <w:szCs w:val="24"/>
                <w:lang w:eastAsia="zh-CN"/>
              </w:rPr>
              <w:t>；</w:t>
            </w:r>
          </w:p>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 xml:space="preserve">.支持1/2.5英寸CMOS成像芯片，支持12倍光学变焦； </w:t>
            </w:r>
            <w:r>
              <w:rPr>
                <w:rFonts w:hint="eastAsia" w:ascii="宋体" w:hAnsi="宋体" w:eastAsia="宋体" w:cs="宋体"/>
                <w:b w:val="0"/>
                <w:bCs/>
                <w:sz w:val="24"/>
                <w:szCs w:val="24"/>
                <w:lang w:val="en-US" w:eastAsia="zh-CN"/>
              </w:rPr>
              <w:t>7</w:t>
            </w:r>
            <w:r>
              <w:rPr>
                <w:rFonts w:hint="eastAsia" w:ascii="宋体" w:hAnsi="宋体" w:eastAsia="宋体" w:cs="宋体"/>
                <w:b w:val="0"/>
                <w:bCs/>
                <w:sz w:val="24"/>
                <w:szCs w:val="24"/>
              </w:rPr>
              <w:t>.支持自动白平衡、自动曝光和自动聚焦功能；</w:t>
            </w:r>
          </w:p>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支持254个预置位；</w:t>
            </w:r>
          </w:p>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.输出像素支持1080P 50/60、1080i 50/60、1080p 25/30、720p 50/60</w:t>
            </w:r>
            <w:r>
              <w:rPr>
                <w:rFonts w:hint="eastAsia" w:ascii="宋体" w:hAnsi="宋体" w:eastAsia="宋体" w:cs="宋体"/>
                <w:b w:val="0"/>
                <w:bCs/>
                <w:sz w:val="24"/>
                <w:szCs w:val="24"/>
                <w:lang w:eastAsia="zh-CN"/>
              </w:rPr>
              <w:t>：</w:t>
            </w:r>
          </w:p>
          <w:p>
            <w:pPr>
              <w:pStyle w:val="34"/>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10.</w:t>
            </w:r>
            <w:r>
              <w:rPr>
                <w:rFonts w:hint="eastAsia" w:ascii="宋体" w:hAnsi="宋体" w:eastAsia="宋体" w:cs="宋体"/>
                <w:b w:val="0"/>
                <w:bCs/>
                <w:sz w:val="24"/>
                <w:szCs w:val="24"/>
              </w:rPr>
              <w:t>为保证系统兼容性，与视频会议终端主机采用同一品牌。</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LED显示屏</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海康威视DS-CK18FI/H，含所有相关配件及控制器等</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视频会议室终端</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华为CloudLink BOX300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12</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摄像头</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华为CloudLink Camera 200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13</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台式计算机</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联想启天M433-A449</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14</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电视</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王牌/TCL 55G60E</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15</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矩阵</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纬志/ITAV IMX-HC16</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矩阵</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纬志/ITAV IMX-HC08</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17</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16路调音台</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HUAIN/华音 HY-GM1640</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18</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真分集一拖四无线手持话筒</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HUAIN/华音 HY-U1904MS</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19</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会议手拉手系统</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HUAIN/华音 含主机及所有配件</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20</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无线传屏器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Pr>
        <w:tc>
          <w:tcPr>
            <w:tcW w:w="525"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21</w:t>
            </w:r>
          </w:p>
        </w:tc>
        <w:tc>
          <w:tcPr>
            <w:tcW w:w="2591"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303会议室各种音视频线、地插、网络线路的通畅可用。</w:t>
            </w:r>
          </w:p>
        </w:tc>
        <w:tc>
          <w:tcPr>
            <w:tcW w:w="3216"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w:t>
            </w:r>
          </w:p>
        </w:tc>
        <w:tc>
          <w:tcPr>
            <w:tcW w:w="1104"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1套</w:t>
            </w:r>
          </w:p>
        </w:tc>
        <w:tc>
          <w:tcPr>
            <w:tcW w:w="1053" w:type="dxa"/>
            <w:shd w:val="clear" w:color="auto" w:fill="FFFFFF"/>
            <w:tcMar>
              <w:top w:w="0" w:type="dxa"/>
              <w:left w:w="105" w:type="dxa"/>
              <w:bottom w:w="0" w:type="dxa"/>
              <w:right w:w="105" w:type="dxa"/>
            </w:tcMar>
            <w:vAlign w:val="center"/>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lang w:eastAsia="zh-CN"/>
              </w:rPr>
            </w:pPr>
            <w:r>
              <w:rPr>
                <w:rFonts w:hint="eastAsia" w:ascii="宋体" w:hAnsi="宋体" w:cs="宋体"/>
                <w:b w:val="0"/>
                <w:bCs/>
                <w:sz w:val="24"/>
                <w:szCs w:val="24"/>
                <w:lang w:eastAsia="zh-CN"/>
              </w:rPr>
              <w:t>13个月</w:t>
            </w:r>
          </w:p>
        </w:tc>
      </w:tr>
    </w:tbl>
    <w:p>
      <w:pPr>
        <w:pStyle w:val="34"/>
        <w:spacing w:line="360" w:lineRule="auto"/>
        <w:ind w:firstLine="420"/>
        <w:jc w:val="both"/>
        <w:rPr>
          <w:rFonts w:hint="eastAsia" w:ascii="宋体" w:hAnsi="宋体" w:eastAsia="宋体" w:cs="宋体"/>
          <w:sz w:val="24"/>
          <w:szCs w:val="24"/>
        </w:rPr>
      </w:pPr>
      <w:r>
        <w:rPr>
          <w:rFonts w:hint="eastAsia" w:ascii="宋体" w:hAnsi="宋体" w:eastAsia="宋体" w:cs="宋体"/>
          <w:b/>
          <w:sz w:val="24"/>
          <w:szCs w:val="24"/>
          <w:shd w:val="clear" w:fill="FFFFFF"/>
        </w:rPr>
        <w:t>投标人应为以上维保清单范围内的设备</w:t>
      </w:r>
      <w:r>
        <w:rPr>
          <w:rFonts w:hint="eastAsia" w:ascii="宋体" w:hAnsi="宋体" w:cs="宋体"/>
          <w:b/>
          <w:sz w:val="24"/>
          <w:szCs w:val="24"/>
          <w:shd w:val="clear" w:fill="FFFFFF"/>
          <w:lang w:eastAsia="zh-CN"/>
        </w:rPr>
        <w:t>（</w:t>
      </w:r>
      <w:r>
        <w:rPr>
          <w:rFonts w:hint="eastAsia" w:ascii="宋体" w:hAnsi="宋体" w:eastAsia="宋体" w:cs="宋体"/>
          <w:b/>
          <w:color w:val="FF0000"/>
          <w:sz w:val="24"/>
          <w:szCs w:val="24"/>
        </w:rPr>
        <w:t>视频会议系统</w:t>
      </w:r>
      <w:r>
        <w:rPr>
          <w:rFonts w:hint="eastAsia" w:ascii="宋体" w:hAnsi="宋体" w:cs="宋体"/>
          <w:b/>
          <w:color w:val="FF0000"/>
          <w:sz w:val="24"/>
          <w:szCs w:val="24"/>
          <w:shd w:val="clear" w:fill="FFFFFF"/>
          <w:lang w:val="en-US" w:eastAsia="zh-CN"/>
        </w:rPr>
        <w:t>表中的视频终端和摄像头个别地市局设备已更新，应保修更新后的设备</w:t>
      </w:r>
      <w:r>
        <w:rPr>
          <w:rFonts w:hint="eastAsia" w:ascii="宋体" w:hAnsi="宋体" w:cs="宋体"/>
          <w:b/>
          <w:sz w:val="24"/>
          <w:szCs w:val="24"/>
          <w:shd w:val="clear" w:fill="FFFFFF"/>
          <w:lang w:eastAsia="zh-CN"/>
        </w:rPr>
        <w:t>）</w:t>
      </w:r>
      <w:r>
        <w:rPr>
          <w:rFonts w:hint="eastAsia" w:ascii="宋体" w:hAnsi="宋体" w:eastAsia="宋体" w:cs="宋体"/>
          <w:b/>
          <w:sz w:val="24"/>
          <w:szCs w:val="24"/>
          <w:shd w:val="clear" w:fill="FFFFFF"/>
        </w:rPr>
        <w:t>提供</w:t>
      </w:r>
      <w:r>
        <w:rPr>
          <w:rFonts w:hint="eastAsia" w:ascii="宋体" w:hAnsi="宋体" w:cs="宋体"/>
          <w:b/>
          <w:sz w:val="24"/>
          <w:szCs w:val="24"/>
          <w:shd w:val="clear" w:fill="FFFFFF"/>
          <w:lang w:val="en-US" w:eastAsia="zh-CN"/>
        </w:rPr>
        <w:t>13个月</w:t>
      </w:r>
      <w:r>
        <w:rPr>
          <w:rFonts w:hint="eastAsia" w:ascii="宋体" w:hAnsi="宋体" w:eastAsia="宋体" w:cs="宋体"/>
          <w:b/>
          <w:sz w:val="24"/>
          <w:szCs w:val="24"/>
          <w:shd w:val="clear" w:fill="FFFFFF"/>
        </w:rPr>
        <w:t>免费保修及维护保养等服务，维保周期自签约之日开始起算，具体服务内容如下：</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1.3设备维护</w:t>
      </w:r>
    </w:p>
    <w:p>
      <w:pPr>
        <w:pStyle w:val="34"/>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sz w:val="24"/>
          <w:szCs w:val="24"/>
          <w:lang w:val="en-US" w:eastAsia="zh-CN"/>
        </w:rPr>
        <w:t>1.3.1</w:t>
      </w:r>
      <w:r>
        <w:rPr>
          <w:rFonts w:hint="eastAsia" w:ascii="宋体" w:hAnsi="宋体" w:eastAsia="宋体" w:cs="宋体"/>
          <w:b/>
          <w:sz w:val="24"/>
          <w:szCs w:val="24"/>
        </w:rPr>
        <w:t>设备保修</w:t>
      </w:r>
    </w:p>
    <w:p>
      <w:pPr>
        <w:pStyle w:val="34"/>
        <w:spacing w:line="360" w:lineRule="auto"/>
        <w:ind w:firstLine="480"/>
        <w:jc w:val="both"/>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承担维保工作前，中标人应对现有设备设施进行全面检查。服务期间若设备清单中的设备出现故障，中标人需派专业工程师免费上门负责故障诊断，确诊为硬件故障后，提供免费的硬件保修服务。中标人必须在1小时内对所提出的维护要求做出实质性反应，并提供应急策略。如果在系统运行过程中发生故障，中标人必须保证故障在12小时内得到解决，在此期间，系统中断运行不得超过4小时，维护保养和维修工作必须每次都有书面记录，并应有维修维护保养和责任人、当事人单位主管人员签字确认并存档。</w:t>
      </w:r>
    </w:p>
    <w:p>
      <w:pPr>
        <w:pStyle w:val="34"/>
        <w:spacing w:line="360" w:lineRule="auto"/>
        <w:ind w:firstLine="480"/>
        <w:jc w:val="both"/>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中标人应按国家有关规范和要求对要维保的系统定期检查、测试、保养、维修，每年不低于1次对维保范围的设备进行除尘和清理，确保设备正常运行。</w:t>
      </w:r>
    </w:p>
    <w:p>
      <w:pPr>
        <w:pStyle w:val="34"/>
        <w:numPr>
          <w:ilvl w:val="0"/>
          <w:numId w:val="0"/>
        </w:numPr>
        <w:spacing w:line="36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1.3.2备件支持</w:t>
      </w:r>
    </w:p>
    <w:p>
      <w:pPr>
        <w:pStyle w:val="34"/>
        <w:spacing w:line="360" w:lineRule="auto"/>
        <w:ind w:firstLine="480"/>
        <w:jc w:val="both"/>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服务期间因维保设备清单内的设备发生硬件故障且在24小时内无法修复时，应提供性能不低于故障设备的备机，用于替换故障设备以满足业务需求。若出现设备停产或其他原因导致无法提供相同型号的备机时，则在满足业务需求的基础上提供不低于故障设备性能的备件，直至故障设备修复为止。</w:t>
      </w:r>
    </w:p>
    <w:p>
      <w:pPr>
        <w:pStyle w:val="34"/>
        <w:spacing w:line="360" w:lineRule="auto"/>
        <w:ind w:firstLine="480"/>
        <w:jc w:val="both"/>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（1）在服务期限内备件支持响应级别如下：</w:t>
      </w:r>
    </w:p>
    <w:tbl>
      <w:tblPr>
        <w:tblStyle w:val="20"/>
        <w:tblW w:w="851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557"/>
        <w:gridCol w:w="2838"/>
        <w:gridCol w:w="411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地点</w:t>
            </w:r>
          </w:p>
        </w:tc>
        <w:tc>
          <w:tcPr>
            <w:tcW w:w="283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设备名称</w:t>
            </w:r>
          </w:p>
        </w:tc>
        <w:tc>
          <w:tcPr>
            <w:tcW w:w="411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备件响应级别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省级会场</w:t>
            </w:r>
          </w:p>
        </w:tc>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MCU</w:t>
            </w:r>
          </w:p>
        </w:tc>
        <w:tc>
          <w:tcPr>
            <w:tcW w:w="41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7天*24小时*2小时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视频终端及摄像头</w:t>
            </w:r>
          </w:p>
        </w:tc>
        <w:tc>
          <w:tcPr>
            <w:tcW w:w="41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7天*24小时*2小时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市级会场</w:t>
            </w:r>
          </w:p>
        </w:tc>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MCU</w:t>
            </w:r>
          </w:p>
        </w:tc>
        <w:tc>
          <w:tcPr>
            <w:tcW w:w="41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7天*24小时*ND（下一日）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p>
        </w:tc>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视频终端及摄像头</w:t>
            </w:r>
          </w:p>
        </w:tc>
        <w:tc>
          <w:tcPr>
            <w:tcW w:w="41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7天*24小时*ND（下一日）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155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县级会场</w:t>
            </w:r>
          </w:p>
        </w:tc>
        <w:tc>
          <w:tcPr>
            <w:tcW w:w="283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视频终端及摄像头</w:t>
            </w:r>
          </w:p>
        </w:tc>
        <w:tc>
          <w:tcPr>
            <w:tcW w:w="411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5天*8小时*NBD（下一工作日）</w:t>
            </w:r>
          </w:p>
        </w:tc>
      </w:tr>
    </w:tbl>
    <w:p>
      <w:pPr>
        <w:pStyle w:val="34"/>
        <w:spacing w:line="360" w:lineRule="auto"/>
        <w:ind w:firstLine="480"/>
        <w:jc w:val="both"/>
        <w:rPr>
          <w:rFonts w:hint="eastAsia" w:ascii="宋体" w:hAnsi="宋体" w:eastAsia="宋体" w:cs="宋体"/>
          <w:b w:val="0"/>
          <w:bCs/>
          <w:sz w:val="24"/>
          <w:szCs w:val="24"/>
        </w:rPr>
      </w:pPr>
      <w:r>
        <w:rPr>
          <w:rFonts w:hint="eastAsia" w:ascii="宋体" w:hAnsi="宋体" w:eastAsia="宋体" w:cs="宋体"/>
          <w:b w:val="0"/>
          <w:bCs/>
          <w:sz w:val="24"/>
          <w:szCs w:val="24"/>
          <w:shd w:val="clear" w:fill="FFFFFF"/>
        </w:rPr>
        <w:t>（2）备机支持清单</w:t>
      </w:r>
    </w:p>
    <w:tbl>
      <w:tblPr>
        <w:tblStyle w:val="20"/>
        <w:tblW w:w="8508"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15"/>
        <w:gridCol w:w="2670"/>
        <w:gridCol w:w="3495"/>
        <w:gridCol w:w="14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序号</w:t>
            </w:r>
          </w:p>
        </w:tc>
        <w:tc>
          <w:tcPr>
            <w:tcW w:w="26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设备名称</w:t>
            </w:r>
          </w:p>
        </w:tc>
        <w:tc>
          <w:tcPr>
            <w:tcW w:w="34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规格型号</w:t>
            </w:r>
          </w:p>
        </w:tc>
        <w:tc>
          <w:tcPr>
            <w:tcW w:w="14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bCs w:val="0"/>
                <w:sz w:val="24"/>
                <w:szCs w:val="24"/>
              </w:rPr>
            </w:pPr>
            <w:r>
              <w:rPr>
                <w:rFonts w:hint="eastAsia" w:ascii="宋体" w:hAnsi="宋体" w:eastAsia="宋体" w:cs="宋体"/>
                <w:b/>
                <w:bCs w:val="0"/>
                <w:sz w:val="24"/>
                <w:szCs w:val="24"/>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MCU</w:t>
            </w:r>
          </w:p>
        </w:tc>
        <w:tc>
          <w:tcPr>
            <w:tcW w:w="3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8650</w:t>
            </w:r>
          </w:p>
        </w:tc>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高清视频终端</w:t>
            </w:r>
          </w:p>
        </w:tc>
        <w:tc>
          <w:tcPr>
            <w:tcW w:w="3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9036</w:t>
            </w:r>
          </w:p>
        </w:tc>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高清摄像头</w:t>
            </w:r>
          </w:p>
        </w:tc>
        <w:tc>
          <w:tcPr>
            <w:tcW w:w="3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EVI-HD1</w:t>
            </w:r>
          </w:p>
        </w:tc>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4</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标清视频终端</w:t>
            </w:r>
          </w:p>
        </w:tc>
        <w:tc>
          <w:tcPr>
            <w:tcW w:w="3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Viewpoint 8036</w:t>
            </w:r>
          </w:p>
        </w:tc>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1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w:t>
            </w:r>
          </w:p>
        </w:tc>
        <w:tc>
          <w:tcPr>
            <w:tcW w:w="26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标清摄像头</w:t>
            </w:r>
          </w:p>
        </w:tc>
        <w:tc>
          <w:tcPr>
            <w:tcW w:w="3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Sony D70P</w:t>
            </w:r>
          </w:p>
        </w:tc>
        <w:tc>
          <w:tcPr>
            <w:tcW w:w="14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10台</w:t>
            </w:r>
          </w:p>
        </w:tc>
      </w:tr>
    </w:tbl>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1.4维保支持服务</w:t>
      </w:r>
    </w:p>
    <w:p>
      <w:pPr>
        <w:pStyle w:val="34"/>
        <w:numPr>
          <w:ilvl w:val="0"/>
          <w:numId w:val="0"/>
        </w:num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1.4.1</w:t>
      </w:r>
      <w:r>
        <w:rPr>
          <w:rFonts w:hint="eastAsia" w:ascii="宋体" w:hAnsi="宋体" w:eastAsia="宋体" w:cs="宋体"/>
          <w:b/>
          <w:sz w:val="24"/>
          <w:szCs w:val="24"/>
        </w:rPr>
        <w:t>远程技术支持服务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为迅速、及时响应福建省市场监督管理局的技术服务请求，中标人应设立有客服中心和专职的服务经理和值班工程师，并开通7×24小时免费服务热线电话。当接到福建省市场监督管理局服务请求时，值班工程师应在5分钟内响应，并及时解答福建省市场监督管理局疑问。工程师应判断福建省市场监督管理局的问题严重程度，并提供问题解决方式。如无法立刻解决问题，应记录问题，并电话跟踪，直到问题解决并得到验证。中标人应建立、维护《CASE服务跟踪管理系统》，积累经验库，并与原厂商、合作伙伴联系，报告特殊问题，请求相关技术支持。</w:t>
      </w:r>
    </w:p>
    <w:p>
      <w:pPr>
        <w:pStyle w:val="34"/>
        <w:numPr>
          <w:ilvl w:val="0"/>
          <w:numId w:val="0"/>
        </w:num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1.4.2</w:t>
      </w:r>
      <w:r>
        <w:rPr>
          <w:rFonts w:hint="eastAsia" w:ascii="宋体" w:hAnsi="宋体" w:eastAsia="宋体" w:cs="宋体"/>
          <w:b/>
          <w:sz w:val="24"/>
          <w:szCs w:val="24"/>
        </w:rPr>
        <w:t>现场支持服务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服务期间，中</w:t>
      </w:r>
      <w:r>
        <w:rPr>
          <w:rFonts w:hint="eastAsia" w:ascii="宋体" w:hAnsi="宋体" w:eastAsia="宋体" w:cs="宋体"/>
          <w:b w:val="0"/>
          <w:bCs/>
          <w:color w:val="auto"/>
          <w:sz w:val="24"/>
          <w:szCs w:val="24"/>
          <w:shd w:val="clear" w:fill="FFFFFF"/>
        </w:rPr>
        <w:t>标人应派出至少有1年独立保障省厅局以上相关视频会议经验的工程师，根据需求到达</w:t>
      </w:r>
      <w:r>
        <w:rPr>
          <w:rFonts w:hint="eastAsia" w:ascii="宋体" w:hAnsi="宋体" w:eastAsia="宋体" w:cs="宋体"/>
          <w:b w:val="0"/>
          <w:bCs/>
          <w:sz w:val="24"/>
          <w:szCs w:val="24"/>
          <w:shd w:val="clear" w:fill="FFFFFF"/>
        </w:rPr>
        <w:t>福建省市场监督管理局指定地点提供现场技术支持服务，解决系统软硬件及视音频线路故障。当中标人受理福建省市场监督管理局的故障申告后，工程师应在规定的时间内到达省、设区市会场提供现场支持服务。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在服务期限内提供如下人员现场响应级别：</w:t>
      </w:r>
    </w:p>
    <w:tbl>
      <w:tblPr>
        <w:tblStyle w:val="20"/>
        <w:tblW w:w="8280"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795"/>
        <w:gridCol w:w="448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地点</w:t>
            </w:r>
          </w:p>
        </w:tc>
        <w:tc>
          <w:tcPr>
            <w:tcW w:w="448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响应级别</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7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省级会场</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7天*24小时*2小时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7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市级会场</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7天*24小时*ND（下一日）</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37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县级会场</w:t>
            </w:r>
          </w:p>
        </w:tc>
        <w:tc>
          <w:tcPr>
            <w:tcW w:w="448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34"/>
              <w:keepNext w:val="0"/>
              <w:keepLines w:val="0"/>
              <w:pageBreakBefore w:val="0"/>
              <w:widowControl/>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5天*8小时*NBD（下一工作日）</w:t>
            </w:r>
          </w:p>
        </w:tc>
      </w:tr>
    </w:tbl>
    <w:p>
      <w:pPr>
        <w:pStyle w:val="34"/>
        <w:numPr>
          <w:ilvl w:val="0"/>
          <w:numId w:val="0"/>
        </w:num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1.4.3</w:t>
      </w:r>
      <w:r>
        <w:rPr>
          <w:rFonts w:hint="eastAsia" w:ascii="宋体" w:hAnsi="宋体" w:eastAsia="宋体" w:cs="宋体"/>
          <w:b/>
          <w:sz w:val="24"/>
          <w:szCs w:val="24"/>
        </w:rPr>
        <w:t>巡检服务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服务期间，中标人应提供视频会议系统省、设区市级主要设备的现场巡检服务及县级设备的远程巡检服务，巡检周期为维保合同开始执行起每6个月一次，合同结束前1个月进行一次全省设区市级总巡检。巡检设备包含MCU设备、GK服务器、录播服务器、视频终端以及摄像头。</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中标人应提供后保中心多媒体系统的现场巡检服务，巡检周期为维保合同开始执行起每6个月一次。巡检设备包括LED大屏幕、音箱设备、显示设备及集中控制设备等。</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中标人应提供华林路办公区视频会议系统中主要设备的现场巡检服务，巡检周期为维保合同开始执行起每6个月一次。巡检设备包括音箱设备、记录设备、中控设备等。</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服务工程师在巡检中发现问题需立刻解决，若无法立即解决的应提出解决方案并实施。巡检结束后五个工作日内工程师应向福建省市场监督管理局提交《巡检报告》，《巡检报告》的内容应包括巡检设备的运行现状、系统存在问题、改进及优化建议。省、设区市级巡检工作时间不低于4小时，县级远程巡检工作不低于2小时。</w:t>
      </w:r>
    </w:p>
    <w:p>
      <w:pPr>
        <w:pStyle w:val="34"/>
        <w:numPr>
          <w:ilvl w:val="0"/>
          <w:numId w:val="0"/>
        </w:num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1.4.4</w:t>
      </w:r>
      <w:r>
        <w:rPr>
          <w:rFonts w:hint="eastAsia" w:ascii="宋体" w:hAnsi="宋体" w:eastAsia="宋体" w:cs="宋体"/>
          <w:b/>
          <w:sz w:val="24"/>
          <w:szCs w:val="24"/>
        </w:rPr>
        <w:t>会议保障服务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会议保障分为会前调试、会控操作及会后整理工作。在每个阶段，中标人应按照规范的《会议保障工作手册》并结合福建省市场监督管理局的实际需求执行相应任务。</w:t>
      </w:r>
    </w:p>
    <w:p>
      <w:pPr>
        <w:pStyle w:val="34"/>
        <w:spacing w:line="360" w:lineRule="auto"/>
        <w:ind w:firstLine="480"/>
        <w:jc w:val="both"/>
        <w:rPr>
          <w:rFonts w:hint="eastAsia" w:ascii="宋体" w:hAnsi="宋体" w:eastAsia="宋体" w:cs="宋体"/>
          <w:b w:val="0"/>
          <w:bCs/>
          <w:color w:val="auto"/>
          <w:sz w:val="24"/>
          <w:szCs w:val="24"/>
          <w:shd w:val="clear" w:fill="FFFFFF"/>
        </w:rPr>
      </w:pPr>
      <w:r>
        <w:rPr>
          <w:rFonts w:hint="eastAsia" w:ascii="宋体" w:hAnsi="宋体" w:eastAsia="宋体" w:cs="宋体"/>
          <w:b w:val="0"/>
          <w:bCs/>
          <w:color w:val="auto"/>
          <w:sz w:val="24"/>
          <w:szCs w:val="24"/>
          <w:shd w:val="clear" w:fill="FFFFFF"/>
        </w:rPr>
        <w:t>提供人员驻场服务，按0.5人计，现场保障所有视频会议（含腾讯会议等网络视频会议）、甲方要求保障的普通会议。</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服务期间，当福建省市场监督管理局需要召开视频会议时，中标人应指派服务工程师提前到达现场，配合福建省市场监督管理局进行会前调试，并在会议期间全程提供驻场技术保障，确保视频会议顺利召开。</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视频会议调试及保障期间，所在会议室多媒体系统出现故障时，中标人应指派服务工程师进行故障排查，提供应急手段，确保视频会议的召开不受影响。</w:t>
      </w:r>
    </w:p>
    <w:p>
      <w:pPr>
        <w:pStyle w:val="34"/>
        <w:numPr>
          <w:ilvl w:val="0"/>
          <w:numId w:val="0"/>
        </w:numPr>
        <w:spacing w:line="360" w:lineRule="auto"/>
        <w:jc w:val="both"/>
        <w:rPr>
          <w:rFonts w:hint="eastAsia" w:ascii="宋体" w:hAnsi="宋体" w:eastAsia="宋体" w:cs="宋体"/>
          <w:b/>
          <w:sz w:val="24"/>
          <w:szCs w:val="24"/>
        </w:rPr>
      </w:pPr>
      <w:r>
        <w:rPr>
          <w:rFonts w:hint="eastAsia" w:ascii="宋体" w:hAnsi="宋体" w:eastAsia="宋体" w:cs="宋体"/>
          <w:b/>
          <w:sz w:val="24"/>
          <w:szCs w:val="24"/>
          <w:lang w:val="en-US" w:eastAsia="zh-CN"/>
        </w:rPr>
        <w:t>1.4.5</w:t>
      </w:r>
      <w:r>
        <w:rPr>
          <w:rFonts w:hint="eastAsia" w:ascii="宋体" w:hAnsi="宋体" w:eastAsia="宋体" w:cs="宋体"/>
          <w:b/>
          <w:sz w:val="24"/>
          <w:szCs w:val="24"/>
        </w:rPr>
        <w:t>培训服务</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在服务期内，中标人应向福建省市场监督管理局提供一次全省性的视频会议系统操作远程线上培训（参加培训人员为设区市市场监管局、县（区）市场监管局视频操作人员），培训地点为福建省市场监督管理局指定地点，中标人应提供培训讲师、培训课程及讲义课件；如有新的各地操作人员，中标人应提供一对一的远程线上培训；从而提高福建省市场监督管理局技术人员视频会议保障技术水平。</w:t>
      </w:r>
    </w:p>
    <w:p>
      <w:pPr>
        <w:pStyle w:val="16"/>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outlineLvl w:val="1"/>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1.5实施要求</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提供全省视频会议系统日常维护：组建服务队伍，从管理、流程、技术上实现对基础设备、应用软件及数据的统一运行维护管理；提供省局视频会议设备日常检测服务，以确保设备运行正常、会议能够正常召开。</w:t>
      </w:r>
    </w:p>
    <w:p>
      <w:pPr>
        <w:pStyle w:val="34"/>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sz w:val="24"/>
          <w:szCs w:val="24"/>
          <w:lang w:val="en-US" w:eastAsia="zh-CN"/>
        </w:rPr>
        <w:t>1.5.1</w:t>
      </w:r>
      <w:r>
        <w:rPr>
          <w:rFonts w:hint="eastAsia" w:ascii="宋体" w:hAnsi="宋体" w:eastAsia="宋体" w:cs="宋体"/>
          <w:b/>
          <w:sz w:val="24"/>
          <w:szCs w:val="24"/>
        </w:rPr>
        <w:t>维保管理要求</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由福建省市场监督管理局履行对本项目维保服务工作质量的检查和监督职责。中标人应按照项目管理的方法，组建服务团队，指定项目经理作为统一接口负责行使项目的管理职责，接受绩效管理和监督管理，依据省市场监督管理有关规定做好所承担的工作。</w:t>
      </w:r>
    </w:p>
    <w:p>
      <w:pPr>
        <w:pStyle w:val="34"/>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sz w:val="24"/>
          <w:szCs w:val="24"/>
          <w:lang w:val="en-US" w:eastAsia="zh-CN"/>
        </w:rPr>
        <w:t>1.5.2</w:t>
      </w:r>
      <w:r>
        <w:rPr>
          <w:rFonts w:hint="eastAsia" w:ascii="宋体" w:hAnsi="宋体" w:eastAsia="宋体" w:cs="宋体"/>
          <w:b/>
          <w:sz w:val="24"/>
          <w:szCs w:val="24"/>
        </w:rPr>
        <w:t>文档管理要求</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中标人需要根据市场监督管理局视频会议系统的功能和特点，做好维保过程的所有文档的记录、更新和归档工作，包括服务过程中产生的各类巡检报告、故障处理报告、会场系统拓扑结构图、会议调试及保障记录表、服务总结报告等，根据服务阶段进行汇总，按照相关要求装订成册，提交存档。</w:t>
      </w:r>
    </w:p>
    <w:p>
      <w:pPr>
        <w:pStyle w:val="34"/>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sz w:val="24"/>
          <w:szCs w:val="24"/>
          <w:lang w:val="en-US" w:eastAsia="zh-CN"/>
        </w:rPr>
        <w:t>1.5.3</w:t>
      </w:r>
      <w:r>
        <w:rPr>
          <w:rFonts w:hint="eastAsia" w:ascii="宋体" w:hAnsi="宋体" w:eastAsia="宋体" w:cs="宋体"/>
          <w:b/>
          <w:sz w:val="24"/>
          <w:szCs w:val="24"/>
        </w:rPr>
        <w:t>技术管理要求</w:t>
      </w:r>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中标人需要根据市场监督管理局视频会议系统的技术特点及难点，指派具备该项技术的服务团队进行日常维护。服务团队成员应具备解决日常维护、会议调试保障、巡检过程中遇到的各类音视频故障的能力，故障应在合同规定要求时间范围内解决。</w:t>
      </w:r>
    </w:p>
    <w:p>
      <w:pPr>
        <w:pStyle w:val="34"/>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b/>
          <w:sz w:val="24"/>
          <w:szCs w:val="24"/>
          <w:lang w:val="en-US" w:eastAsia="zh-CN"/>
        </w:rPr>
        <w:t>1.5.4</w:t>
      </w:r>
      <w:r>
        <w:rPr>
          <w:rFonts w:hint="eastAsia" w:ascii="宋体" w:hAnsi="宋体" w:eastAsia="宋体" w:cs="宋体"/>
          <w:b/>
          <w:sz w:val="24"/>
          <w:szCs w:val="24"/>
        </w:rPr>
        <w:t>人员绩效考核要求</w:t>
      </w:r>
      <w:bookmarkStart w:id="0" w:name="_GoBack"/>
      <w:bookmarkEnd w:id="0"/>
    </w:p>
    <w:p>
      <w:pPr>
        <w:pStyle w:val="34"/>
        <w:spacing w:line="360" w:lineRule="auto"/>
        <w:ind w:firstLine="480"/>
        <w:jc w:val="both"/>
        <w:rPr>
          <w:rFonts w:hint="eastAsia" w:ascii="宋体" w:hAnsi="宋体" w:eastAsia="宋体" w:cs="宋体"/>
          <w:b w:val="0"/>
          <w:bCs/>
          <w:sz w:val="24"/>
          <w:szCs w:val="24"/>
          <w:shd w:val="clear" w:fill="FFFFFF"/>
        </w:rPr>
      </w:pPr>
      <w:r>
        <w:rPr>
          <w:rFonts w:hint="eastAsia" w:ascii="宋体" w:hAnsi="宋体" w:eastAsia="宋体" w:cs="宋体"/>
          <w:b w:val="0"/>
          <w:bCs/>
          <w:sz w:val="24"/>
          <w:szCs w:val="24"/>
          <w:shd w:val="clear" w:fill="FFFFFF"/>
        </w:rPr>
        <w:t>中标人组建的服务团队应建立有效的人员绩效考核机制，并接受监管。绩效考核内容应包含服务及时性、技术水平、服务态度等方面。每季度定期考核一次，对考核不合格的团队成员应调离现有的服务团队。</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2" w:firstLineChars="200"/>
        <w:outlineLvl w:val="2"/>
        <w:rPr>
          <w:rFonts w:hint="eastAsia" w:ascii="宋体" w:hAnsi="宋体" w:eastAsia="宋体" w:cs="宋体"/>
          <w:b/>
          <w:sz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三</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华</w:t>
      </w:r>
      <w:r>
        <w:rPr>
          <w:rFonts w:hint="eastAsia" w:ascii="宋体" w:hAnsi="宋体" w:eastAsia="宋体" w:cs="宋体"/>
          <w:b/>
          <w:bCs w:val="0"/>
          <w:color w:val="auto"/>
          <w:sz w:val="24"/>
          <w:szCs w:val="24"/>
          <w:lang w:eastAsia="zh-CN"/>
        </w:rPr>
        <w:t>林路办公区机房维保</w:t>
      </w:r>
      <w:r>
        <w:rPr>
          <w:rFonts w:hint="eastAsia" w:ascii="宋体" w:hAnsi="宋体" w:eastAsia="宋体" w:cs="宋体"/>
          <w:b/>
          <w:sz w:val="24"/>
          <w:lang w:eastAsia="zh-CN"/>
        </w:rPr>
        <w:t>及运维服务</w:t>
      </w:r>
    </w:p>
    <w:p>
      <w:pPr>
        <w:pStyle w:val="34"/>
        <w:spacing w:line="360" w:lineRule="auto"/>
        <w:ind w:firstLine="480" w:firstLineChars="200"/>
        <w:rPr>
          <w:rFonts w:hint="eastAsia"/>
        </w:rPr>
      </w:pPr>
      <w:r>
        <w:rPr>
          <w:rFonts w:hint="eastAsia" w:ascii="宋体" w:hAnsi="宋体" w:cs="宋体"/>
          <w:b w:val="0"/>
          <w:bCs/>
          <w:sz w:val="24"/>
          <w:szCs w:val="24"/>
          <w:shd w:val="clear" w:fill="FFFFFF"/>
          <w:lang w:val="en-US" w:eastAsia="zh-CN"/>
        </w:rPr>
        <w:t>按甲方指定的日期开始，提供9个月的服务</w:t>
      </w:r>
      <w:r>
        <w:rPr>
          <w:rFonts w:hint="eastAsia" w:ascii="宋体" w:hAnsi="宋体" w:eastAsia="宋体" w:cs="宋体"/>
          <w:b w:val="0"/>
          <w:bCs/>
          <w:sz w:val="24"/>
          <w:szCs w:val="24"/>
          <w:shd w:val="clear" w:fill="FFFFFF"/>
        </w:rPr>
        <w:t>。</w:t>
      </w:r>
    </w:p>
    <w:p>
      <w:pPr>
        <w:pStyle w:val="16"/>
        <w:keepNext w:val="0"/>
        <w:keepLines w:val="0"/>
        <w:outlineLvl w:val="1"/>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rPr>
        <w:t>运维服务设备清单</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953"/>
        <w:gridCol w:w="2870"/>
        <w:gridCol w:w="1206"/>
        <w:gridCol w:w="576"/>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序号</w:t>
            </w:r>
          </w:p>
        </w:tc>
        <w:tc>
          <w:tcPr>
            <w:tcW w:w="1953" w:type="dxa"/>
          </w:tcPr>
          <w:p>
            <w:pPr>
              <w:widowControl/>
              <w:wordWrap w:val="0"/>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产品名 称</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设备型号</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所在位置</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数量</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华林路办公区核心交换机</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锐捷RG-S8614</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华林路办公区机房服务器交换机</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锐捷RG-S5750-24GT/8SFP-E</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8</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华林路办公区楼层交换机</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锐捷RG-S2352G</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各楼层弱电间</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68</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UPS</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艾默生80KVA(Hipulse)</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3</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5</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国家总局托管长乐政务云服务器</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惠普DL180G9</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长乐政务云机房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防火墙</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天融信NGFW4000-UF</w:t>
            </w: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364" w:type="dxa"/>
          </w:tcPr>
          <w:p>
            <w:pPr>
              <w:widowControl/>
              <w:spacing w:before="100" w:beforeAutospacing="1" w:after="100" w:afterAutospacing="1" w:line="480" w:lineRule="atLeast"/>
              <w:jc w:val="center"/>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953"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机房空调</w:t>
            </w:r>
          </w:p>
        </w:tc>
        <w:tc>
          <w:tcPr>
            <w:tcW w:w="2870" w:type="dxa"/>
            <w:vAlign w:val="center"/>
          </w:tcPr>
          <w:p>
            <w:pPr>
              <w:pStyle w:val="3"/>
              <w:shd w:val="clear" w:color="auto" w:fill="FFFFFF"/>
              <w:spacing w:before="0" w:beforeAutospacing="0" w:after="96" w:afterAutospacing="0" w:line="288" w:lineRule="atLeast"/>
              <w:jc w:val="center"/>
              <w:rPr>
                <w:rFonts w:hint="eastAsia" w:ascii="宋体" w:hAnsi="宋体" w:eastAsia="宋体" w:cs="宋体"/>
                <w:color w:val="000000"/>
                <w:kern w:val="0"/>
                <w:sz w:val="24"/>
                <w:szCs w:val="24"/>
              </w:rPr>
            </w:pPr>
            <w:r>
              <w:rPr>
                <w:rFonts w:hint="eastAsia"/>
                <w:b w:val="0"/>
                <w:bCs w:val="0"/>
                <w:kern w:val="2"/>
                <w:sz w:val="24"/>
                <w:szCs w:val="24"/>
                <w:lang w:val="en-US" w:eastAsia="zh-CN"/>
              </w:rPr>
              <w:t>大金</w:t>
            </w:r>
            <w:r>
              <w:rPr>
                <w:rFonts w:hint="eastAsia"/>
                <w:b w:val="0"/>
                <w:bCs w:val="0"/>
                <w:kern w:val="2"/>
                <w:sz w:val="24"/>
                <w:szCs w:val="24"/>
              </w:rPr>
              <w:t>FVY400AMY1L</w:t>
            </w:r>
          </w:p>
        </w:tc>
        <w:tc>
          <w:tcPr>
            <w:tcW w:w="120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w:t>
            </w:r>
          </w:p>
        </w:tc>
        <w:tc>
          <w:tcPr>
            <w:tcW w:w="1364"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953"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UPS间空调</w:t>
            </w:r>
          </w:p>
        </w:tc>
        <w:tc>
          <w:tcPr>
            <w:tcW w:w="2870" w:type="dxa"/>
            <w:vAlign w:val="center"/>
          </w:tcPr>
          <w:p>
            <w:pPr>
              <w:spacing w:line="420" w:lineRule="exact"/>
              <w:jc w:val="center"/>
              <w:rPr>
                <w:rFonts w:hint="eastAsia" w:ascii="宋体" w:hAnsi="宋体" w:eastAsia="宋体" w:cs="宋体"/>
                <w:color w:val="000000"/>
                <w:kern w:val="0"/>
                <w:sz w:val="24"/>
                <w:szCs w:val="24"/>
              </w:rPr>
            </w:pPr>
            <w:r>
              <w:rPr>
                <w:rFonts w:hint="eastAsia" w:ascii="宋体" w:hAnsi="宋体"/>
                <w:sz w:val="24"/>
                <w:lang w:val="en-US" w:eastAsia="zh-CN"/>
              </w:rPr>
              <w:t>大金</w:t>
            </w:r>
            <w:r>
              <w:rPr>
                <w:rFonts w:hint="eastAsia" w:ascii="宋体" w:hAnsi="宋体"/>
                <w:sz w:val="24"/>
              </w:rPr>
              <w:t>FVY250AMY1L</w:t>
            </w:r>
          </w:p>
        </w:tc>
        <w:tc>
          <w:tcPr>
            <w:tcW w:w="120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1364"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9</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机房运维（基础运维及环境监测）</w:t>
            </w:r>
          </w:p>
        </w:tc>
        <w:tc>
          <w:tcPr>
            <w:tcW w:w="2870" w:type="dxa"/>
          </w:tcPr>
          <w:p>
            <w:pPr>
              <w:widowControl/>
              <w:jc w:val="left"/>
              <w:rPr>
                <w:rFonts w:ascii="宋体" w:hAnsi="宋体" w:eastAsia="宋体" w:cs="宋体"/>
                <w:kern w:val="0"/>
                <w:sz w:val="24"/>
                <w:szCs w:val="24"/>
              </w:rPr>
            </w:pPr>
          </w:p>
        </w:tc>
        <w:tc>
          <w:tcPr>
            <w:tcW w:w="120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4楼机房</w:t>
            </w: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10</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吸顶式音箱</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QSC AD-C42T</w:t>
            </w:r>
          </w:p>
        </w:tc>
        <w:tc>
          <w:tcPr>
            <w:tcW w:w="1206" w:type="dxa"/>
            <w:vMerge w:val="restart"/>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21楼会议室</w:t>
            </w:r>
          </w:p>
        </w:tc>
        <w:tc>
          <w:tcPr>
            <w:tcW w:w="576"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6</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11</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吸顶功放</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QSC RMX 850</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12</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蓝光DVD播放器</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先锋</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13</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数字音频矩阵</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RANE RPM 2</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14</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手持无线话筒</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ATW2010</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2</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16路电源时序器</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CRR-12PWR</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1953"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20路调音台</w:t>
            </w:r>
          </w:p>
        </w:tc>
        <w:tc>
          <w:tcPr>
            <w:tcW w:w="2870" w:type="dxa"/>
          </w:tcPr>
          <w:p>
            <w:pPr>
              <w:widowControl/>
              <w:spacing w:before="100" w:beforeAutospacing="1" w:after="100" w:afterAutospacing="1" w:line="480" w:lineRule="atLeast"/>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YAMAHA  MG206C</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17</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音频矩阵切换器 8×8</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MATRIX AV0808</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18</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RGB矩阵切换器 8×8</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MATRIX RGB0808</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19</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会议系统主机</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BOSCH</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20</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桌面式纯讨论代表单元</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BOSCH</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15</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21</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150"电动幕</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SAMPLE</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22</w:t>
            </w:r>
          </w:p>
        </w:tc>
        <w:tc>
          <w:tcPr>
            <w:tcW w:w="1953" w:type="dxa"/>
          </w:tcPr>
          <w:p>
            <w:pPr>
              <w:widowControl/>
              <w:spacing w:before="100" w:beforeAutospacing="1" w:after="100" w:afterAutospacing="1" w:line="480" w:lineRule="atLeast"/>
              <w:jc w:val="center"/>
              <w:textAlignment w:val="center"/>
              <w:rPr>
                <w:rFonts w:ascii="宋体" w:hAnsi="宋体" w:eastAsia="宋体" w:cs="宋体"/>
                <w:kern w:val="0"/>
                <w:sz w:val="24"/>
                <w:szCs w:val="24"/>
              </w:rPr>
            </w:pPr>
            <w:r>
              <w:rPr>
                <w:rFonts w:hint="eastAsia" w:ascii="宋体" w:hAnsi="宋体" w:eastAsia="宋体" w:cs="宋体"/>
                <w:color w:val="000000"/>
                <w:kern w:val="0"/>
                <w:sz w:val="24"/>
                <w:szCs w:val="24"/>
              </w:rPr>
              <w:t>DLP投影机</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松下PT-FD550</w:t>
            </w:r>
          </w:p>
        </w:tc>
        <w:tc>
          <w:tcPr>
            <w:tcW w:w="1206" w:type="dxa"/>
            <w:vMerge w:val="continue"/>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spacing w:before="100" w:beforeAutospacing="1" w:after="100" w:afterAutospacing="1" w:line="480" w:lineRule="atLeast"/>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2</w:t>
            </w:r>
            <w:r>
              <w:rPr>
                <w:rFonts w:hint="eastAsia" w:ascii="宋体" w:hAnsi="宋体" w:eastAsia="宋体" w:cs="宋体"/>
                <w:color w:val="FF0000"/>
                <w:kern w:val="0"/>
                <w:sz w:val="24"/>
                <w:szCs w:val="24"/>
                <w:lang w:val="en-US" w:eastAsia="zh-CN"/>
              </w:rPr>
              <w:t>3</w:t>
            </w:r>
          </w:p>
        </w:tc>
        <w:tc>
          <w:tcPr>
            <w:tcW w:w="1953"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机房消防系统</w:t>
            </w:r>
          </w:p>
        </w:tc>
        <w:tc>
          <w:tcPr>
            <w:tcW w:w="2870" w:type="dxa"/>
          </w:tcPr>
          <w:p>
            <w:pPr>
              <w:widowControl/>
              <w:spacing w:before="100" w:beforeAutospacing="1" w:after="100" w:afterAutospacing="1" w:line="480" w:lineRule="atLeast"/>
              <w:jc w:val="left"/>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1套</w:t>
            </w:r>
          </w:p>
        </w:tc>
        <w:tc>
          <w:tcPr>
            <w:tcW w:w="1206" w:type="dxa"/>
          </w:tcPr>
          <w:p>
            <w:pPr>
              <w:widowControl/>
              <w:jc w:val="left"/>
              <w:rPr>
                <w:rFonts w:ascii="宋体" w:hAnsi="宋体" w:eastAsia="宋体" w:cs="宋体"/>
                <w:color w:val="FF0000"/>
                <w:kern w:val="0"/>
                <w:sz w:val="24"/>
                <w:szCs w:val="24"/>
              </w:rPr>
            </w:pPr>
          </w:p>
        </w:tc>
        <w:tc>
          <w:tcPr>
            <w:tcW w:w="576" w:type="dxa"/>
          </w:tcPr>
          <w:p>
            <w:pPr>
              <w:widowControl/>
              <w:spacing w:before="100" w:beforeAutospacing="1" w:after="100" w:afterAutospacing="1" w:line="480" w:lineRule="atLeast"/>
              <w:jc w:val="center"/>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1</w:t>
            </w:r>
          </w:p>
        </w:tc>
        <w:tc>
          <w:tcPr>
            <w:tcW w:w="1364" w:type="dxa"/>
          </w:tcPr>
          <w:p>
            <w:pPr>
              <w:widowControl/>
              <w:jc w:val="left"/>
              <w:rPr>
                <w:rFonts w:ascii="宋体" w:hAnsi="宋体" w:eastAsia="宋体" w:cs="宋体"/>
                <w:color w:val="FF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4</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综合布线含客户端网络及电话线</w:t>
            </w:r>
          </w:p>
        </w:tc>
        <w:tc>
          <w:tcPr>
            <w:tcW w:w="2870" w:type="dxa"/>
          </w:tcPr>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华林路大楼整个综合布线系统的维保，其他额外的布线每年度不超过60工天，包含全部线缆及配件</w:t>
            </w:r>
          </w:p>
        </w:tc>
        <w:tc>
          <w:tcPr>
            <w:tcW w:w="1206" w:type="dxa"/>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vAlign w:val="top"/>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25</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机房的理线及清洁</w:t>
            </w:r>
          </w:p>
        </w:tc>
        <w:tc>
          <w:tcPr>
            <w:tcW w:w="2870" w:type="dxa"/>
          </w:tcPr>
          <w:p>
            <w:pPr>
              <w:widowControl/>
              <w:spacing w:before="0" w:beforeAutospacing="0" w:after="0" w:afterAutospacing="0" w:line="480" w:lineRule="atLeast"/>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1、一年提供一次专业的设备除尘及所有线缆捆扎整理服务。</w:t>
            </w:r>
          </w:p>
          <w:p>
            <w:pPr>
              <w:widowControl/>
              <w:spacing w:before="0" w:beforeAutospacing="0" w:after="0" w:afterAutospacing="0" w:line="480" w:lineRule="atLeast"/>
              <w:jc w:val="left"/>
              <w:rPr>
                <w:rFonts w:ascii="宋体" w:hAnsi="宋体" w:eastAsia="宋体" w:cs="宋体"/>
                <w:kern w:val="0"/>
                <w:sz w:val="24"/>
                <w:szCs w:val="24"/>
              </w:rPr>
            </w:pPr>
            <w:r>
              <w:rPr>
                <w:rFonts w:hint="eastAsia" w:ascii="宋体" w:hAnsi="宋体" w:eastAsia="宋体" w:cs="宋体"/>
                <w:color w:val="000000"/>
                <w:kern w:val="0"/>
                <w:sz w:val="24"/>
                <w:szCs w:val="24"/>
              </w:rPr>
              <w:t>2、一年提供4次机房清洁。</w:t>
            </w:r>
          </w:p>
        </w:tc>
        <w:tc>
          <w:tcPr>
            <w:tcW w:w="1206" w:type="dxa"/>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lang w:val="en-US" w:eastAsia="zh-CN"/>
              </w:rPr>
              <w:t>26</w:t>
            </w:r>
          </w:p>
        </w:tc>
        <w:tc>
          <w:tcPr>
            <w:tcW w:w="1953"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21楼会议室、3楼3间会议室的话筒线路、地插等</w:t>
            </w:r>
          </w:p>
        </w:tc>
        <w:tc>
          <w:tcPr>
            <w:tcW w:w="2870"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包含所有线缆及配件</w:t>
            </w:r>
          </w:p>
        </w:tc>
        <w:tc>
          <w:tcPr>
            <w:tcW w:w="1206" w:type="dxa"/>
          </w:tcPr>
          <w:p>
            <w:pPr>
              <w:widowControl/>
              <w:jc w:val="left"/>
              <w:rPr>
                <w:rFonts w:ascii="宋体" w:hAnsi="宋体" w:eastAsia="宋体" w:cs="宋体"/>
                <w:kern w:val="0"/>
                <w:sz w:val="24"/>
                <w:szCs w:val="24"/>
              </w:rPr>
            </w:pPr>
          </w:p>
        </w:tc>
        <w:tc>
          <w:tcPr>
            <w:tcW w:w="576" w:type="dxa"/>
          </w:tcPr>
          <w:p>
            <w:pPr>
              <w:widowControl/>
              <w:spacing w:before="100" w:beforeAutospacing="1" w:after="100" w:afterAutospacing="1" w:line="480" w:lineRule="atLeas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1364" w:type="dxa"/>
          </w:tcPr>
          <w:p>
            <w:pPr>
              <w:widowControl/>
              <w:jc w:val="left"/>
              <w:rPr>
                <w:rFonts w:ascii="宋体" w:hAnsi="宋体" w:eastAsia="宋体" w:cs="宋体"/>
                <w:kern w:val="0"/>
                <w:sz w:val="24"/>
                <w:szCs w:val="24"/>
              </w:rPr>
            </w:pPr>
          </w:p>
        </w:tc>
      </w:tr>
    </w:tbl>
    <w:p>
      <w:pPr>
        <w:pStyle w:val="34"/>
        <w:spacing w:line="360" w:lineRule="auto"/>
        <w:ind w:firstLine="480"/>
        <w:rPr>
          <w:rFonts w:hint="eastAsia" w:ascii="宋体" w:hAnsi="宋体" w:eastAsia="宋体" w:cs="宋体"/>
          <w:b/>
          <w:bCs w:val="0"/>
          <w:color w:val="FF0000"/>
          <w:sz w:val="24"/>
          <w:szCs w:val="24"/>
          <w:lang w:val="en-US" w:eastAsia="zh-CN"/>
        </w:rPr>
      </w:pPr>
      <w:r>
        <w:rPr>
          <w:rFonts w:hint="eastAsia" w:ascii="宋体" w:hAnsi="宋体" w:eastAsia="宋体"/>
          <w:color w:val="FF0000"/>
          <w:sz w:val="24"/>
          <w:szCs w:val="24"/>
        </w:rPr>
        <w:t>投标人应提供7×24小时故障处理服务。如市区内设备因硬件故障无法正常运行，维护单位提供的替换硬件及维保人员应在接到报障电话通知后1小时内到场，并在2小时内完成设备硬件故障替换</w:t>
      </w:r>
      <w:r>
        <w:rPr>
          <w:rFonts w:hint="eastAsia" w:ascii="宋体" w:hAnsi="宋体" w:eastAsia="宋体" w:cs="宋体"/>
          <w:b w:val="0"/>
          <w:bCs/>
          <w:color w:val="FF0000"/>
          <w:sz w:val="24"/>
          <w:szCs w:val="24"/>
          <w:shd w:val="clear" w:fill="FFFFFF"/>
        </w:rPr>
        <w:t>。</w:t>
      </w:r>
    </w:p>
    <w:p>
      <w:pPr>
        <w:pStyle w:val="16"/>
        <w:keepNext w:val="0"/>
        <w:keepLines w:val="0"/>
        <w:outlineLvl w:val="1"/>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2.</w:t>
      </w:r>
      <w:r>
        <w:rPr>
          <w:rFonts w:hint="eastAsia" w:ascii="宋体" w:hAnsi="宋体" w:eastAsia="宋体" w:cs="宋体"/>
          <w:b/>
          <w:bCs w:val="0"/>
          <w:sz w:val="24"/>
          <w:szCs w:val="24"/>
        </w:rPr>
        <w:t>运维服务内容</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运维服务内容</w:t>
      </w:r>
      <w:r>
        <w:rPr>
          <w:rFonts w:hint="eastAsia" w:ascii="宋体" w:hAnsi="宋体" w:cs="宋体"/>
          <w:kern w:val="0"/>
          <w:sz w:val="24"/>
          <w:szCs w:val="24"/>
          <w:lang w:val="en-US" w:eastAsia="zh-CN"/>
        </w:rPr>
        <w:t>包括运行维护和系统设备的维保服务，在服务期内，所有系统设备均属免费维修。</w:t>
      </w:r>
      <w:r>
        <w:rPr>
          <w:rFonts w:hint="eastAsia" w:ascii="宋体" w:hAnsi="宋体" w:eastAsia="宋体" w:cs="宋体"/>
          <w:kern w:val="0"/>
          <w:sz w:val="24"/>
          <w:szCs w:val="24"/>
        </w:rPr>
        <w:t>根据福建省市场监管</w:t>
      </w:r>
      <w:r>
        <w:rPr>
          <w:rFonts w:hint="eastAsia" w:ascii="宋体" w:hAnsi="宋体" w:cs="宋体"/>
          <w:kern w:val="0"/>
          <w:sz w:val="24"/>
          <w:szCs w:val="24"/>
          <w:lang w:val="en-US" w:eastAsia="zh-CN"/>
        </w:rPr>
        <w:t>局华林路机房</w:t>
      </w:r>
      <w:r>
        <w:rPr>
          <w:rFonts w:hint="eastAsia" w:ascii="宋体" w:hAnsi="宋体" w:eastAsia="宋体" w:cs="宋体"/>
          <w:kern w:val="0"/>
          <w:sz w:val="24"/>
          <w:szCs w:val="24"/>
        </w:rPr>
        <w:t>运行情况，针对于网络及安全设备需提供5×8小时现场服务及7×24小时技术支持服务。服务内容包括：</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服务承诺：要求提供原厂保修的，投标人须承诺提供原厂售后服务，并在合同签订后向采购人提供购买原厂售后服务的证明材料；要求提供第三方保修的，投标人须承诺提供的是第三方售后服务。在合同执行过程中如发现与承诺不一致的，采购人有权终止合同并要求中标人赔偿采购人的损失。</w:t>
      </w:r>
    </w:p>
    <w:p>
      <w:pPr>
        <w:widowControl/>
        <w:snapToGrid w:val="0"/>
        <w:spacing w:line="460" w:lineRule="exact"/>
        <w:ind w:firstLine="420"/>
        <w:jc w:val="left"/>
        <w:rPr>
          <w:rFonts w:hint="eastAsia" w:ascii="宋体" w:hAnsi="宋体" w:eastAsia="宋体" w:cs="宋体"/>
          <w:kern w:val="0"/>
          <w:sz w:val="24"/>
          <w:szCs w:val="24"/>
        </w:rPr>
      </w:pPr>
      <w:r>
        <w:rPr>
          <w:rFonts w:hint="eastAsia" w:ascii="宋体" w:hAnsi="宋体" w:eastAsia="宋体" w:cs="宋体"/>
          <w:kern w:val="0"/>
          <w:sz w:val="24"/>
          <w:szCs w:val="24"/>
        </w:rPr>
        <w:t>（2）现场技术支持服务：根据设备运行需要做到电话以及远程技术支持服务15分钟响应、重大故障1小时现场支持响应，普通故障4小时现场支持响应。提供包括设备运行维护，口令修改，设备配置调整，设备硬件巡检</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每年至少4次）</w:t>
      </w:r>
      <w:r>
        <w:rPr>
          <w:rFonts w:hint="eastAsia" w:ascii="宋体" w:hAnsi="宋体" w:eastAsia="宋体" w:cs="宋体"/>
          <w:kern w:val="0"/>
          <w:sz w:val="24"/>
          <w:szCs w:val="24"/>
        </w:rPr>
        <w:t xml:space="preserve">等服务支持。 </w:t>
      </w:r>
    </w:p>
    <w:p>
      <w:pPr>
        <w:widowControl/>
        <w:snapToGrid w:val="0"/>
        <w:spacing w:line="460" w:lineRule="exact"/>
        <w:ind w:firstLine="420"/>
        <w:jc w:val="left"/>
        <w:rPr>
          <w:rFonts w:hint="eastAsia" w:ascii="宋体" w:hAnsi="宋体" w:eastAsia="宋体" w:cs="宋体"/>
          <w:kern w:val="0"/>
          <w:sz w:val="24"/>
          <w:szCs w:val="24"/>
        </w:rPr>
      </w:pPr>
      <w:r>
        <w:rPr>
          <w:rFonts w:hint="eastAsia" w:ascii="宋体" w:hAnsi="宋体" w:cs="宋体"/>
          <w:kern w:val="0"/>
          <w:sz w:val="24"/>
          <w:szCs w:val="24"/>
          <w:lang w:val="en-US" w:eastAsia="zh-CN"/>
        </w:rPr>
        <w:t>（</w:t>
      </w:r>
      <w:r>
        <w:rPr>
          <w:rFonts w:hint="eastAsia" w:ascii="宋体" w:hAnsi="宋体" w:eastAsia="宋体" w:cs="宋体"/>
          <w:kern w:val="0"/>
          <w:sz w:val="24"/>
          <w:szCs w:val="24"/>
        </w:rPr>
        <w:t>3</w:t>
      </w:r>
      <w:r>
        <w:rPr>
          <w:rFonts w:hint="eastAsia" w:ascii="宋体" w:hAnsi="宋体" w:cs="宋体"/>
          <w:kern w:val="0"/>
          <w:sz w:val="24"/>
          <w:szCs w:val="24"/>
          <w:lang w:eastAsia="zh-CN"/>
        </w:rPr>
        <w:t>）</w:t>
      </w:r>
      <w:r>
        <w:rPr>
          <w:rFonts w:hint="eastAsia" w:ascii="宋体" w:hAnsi="宋体" w:eastAsia="宋体" w:cs="宋体"/>
          <w:kern w:val="0"/>
          <w:sz w:val="24"/>
          <w:szCs w:val="24"/>
        </w:rPr>
        <w:t>应急支持：针对以下任务引起的响应服务要求，按采购人要求与其他技术支撑单位密切配合，做好处置预案，安排相关技术人员7*24小时现场支持响应直至任务结束。</w:t>
      </w:r>
    </w:p>
    <w:p>
      <w:pPr>
        <w:widowControl/>
        <w:snapToGrid w:val="0"/>
        <w:spacing w:line="460" w:lineRule="exact"/>
        <w:ind w:firstLine="42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a、福建省市场监管</w:t>
      </w:r>
      <w:r>
        <w:rPr>
          <w:rFonts w:hint="eastAsia" w:ascii="宋体" w:hAnsi="宋体" w:cs="宋体"/>
          <w:kern w:val="0"/>
          <w:sz w:val="24"/>
          <w:szCs w:val="24"/>
          <w:lang w:val="en-US" w:eastAsia="zh-CN"/>
        </w:rPr>
        <w:t>局</w:t>
      </w:r>
      <w:r>
        <w:rPr>
          <w:rFonts w:hint="eastAsia" w:ascii="宋体" w:hAnsi="宋体" w:eastAsia="宋体" w:cs="宋体"/>
          <w:kern w:val="0"/>
          <w:sz w:val="24"/>
          <w:szCs w:val="24"/>
        </w:rPr>
        <w:t>软硬件系统上线、升级、维护等；</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b、重大活动安排技术支撑；</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c、台风、洪涝、高温天气等应急支撑；   </w:t>
      </w:r>
    </w:p>
    <w:p>
      <w:pPr>
        <w:widowControl/>
        <w:snapToGrid w:val="0"/>
        <w:spacing w:line="460" w:lineRule="exact"/>
        <w:ind w:firstLine="42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d、系统故障应急处置</w:t>
      </w:r>
      <w:r>
        <w:rPr>
          <w:rFonts w:hint="eastAsia" w:ascii="宋体" w:hAnsi="宋体" w:cs="宋体"/>
          <w:kern w:val="0"/>
          <w:sz w:val="24"/>
          <w:szCs w:val="24"/>
          <w:lang w:eastAsia="zh-CN"/>
        </w:rPr>
        <w:t>；</w:t>
      </w:r>
    </w:p>
    <w:p>
      <w:pPr>
        <w:widowControl/>
        <w:snapToGrid w:val="0"/>
        <w:spacing w:line="460" w:lineRule="exact"/>
        <w:ind w:firstLine="420"/>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e、临时应急需要人手时，可排出3名技术支撑人员现场支持。</w:t>
      </w:r>
    </w:p>
    <w:p>
      <w:pPr>
        <w:widowControl/>
        <w:snapToGrid w:val="0"/>
        <w:spacing w:line="460" w:lineRule="exact"/>
        <w:ind w:firstLine="420"/>
        <w:jc w:val="left"/>
        <w:rPr>
          <w:rFonts w:hint="eastAsia" w:ascii="宋体" w:hAnsi="宋体" w:eastAsia="宋体" w:cs="宋体"/>
          <w:kern w:val="0"/>
          <w:sz w:val="24"/>
          <w:szCs w:val="24"/>
          <w:lang w:val="en-US"/>
        </w:rPr>
      </w:pPr>
      <w:r>
        <w:rPr>
          <w:rFonts w:hint="eastAsia" w:ascii="宋体" w:hAnsi="宋体" w:cs="宋体"/>
          <w:kern w:val="0"/>
          <w:sz w:val="24"/>
          <w:szCs w:val="24"/>
          <w:lang w:val="en-US" w:eastAsia="zh-CN"/>
        </w:rPr>
        <w:t>（4</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所有维保费用属于一次性包干，不应有其他额外费用；项目范围内的人工、线缆、接头、面板及其他配件均由投标方提供。</w:t>
      </w:r>
    </w:p>
    <w:p>
      <w:pPr>
        <w:pStyle w:val="16"/>
        <w:keepNext w:val="0"/>
        <w:keepLines w:val="0"/>
        <w:outlineLvl w:val="1"/>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3.</w:t>
      </w:r>
      <w:r>
        <w:rPr>
          <w:rFonts w:hint="eastAsia" w:ascii="宋体" w:hAnsi="宋体" w:eastAsia="宋体" w:cs="宋体"/>
          <w:b/>
          <w:bCs w:val="0"/>
          <w:sz w:val="24"/>
          <w:szCs w:val="24"/>
        </w:rPr>
        <w:t>实施要求</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1、运维管理要求。由采购人履行对本项目运维服务外包工作质量的检查和监督职责。中标人应按照项目管理的方法，需指定一名项目经理负责对接</w:t>
      </w:r>
      <w:r>
        <w:rPr>
          <w:rFonts w:hint="eastAsia" w:ascii="宋体" w:hAnsi="宋体" w:cs="宋体"/>
          <w:kern w:val="0"/>
          <w:sz w:val="24"/>
          <w:szCs w:val="24"/>
          <w:lang w:val="en-US" w:eastAsia="zh-CN"/>
        </w:rPr>
        <w:t>本项目</w:t>
      </w:r>
      <w:r>
        <w:rPr>
          <w:rFonts w:hint="eastAsia" w:ascii="宋体" w:hAnsi="宋体" w:eastAsia="宋体" w:cs="宋体"/>
          <w:kern w:val="0"/>
          <w:sz w:val="24"/>
          <w:szCs w:val="24"/>
        </w:rPr>
        <w:t>相关运维工作，接受绩效管理和监督管理，依据</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有关规定做好承担的运维工作。中标人在合同签订后需提供项目经理及运维人员名单，采购人有权无理由要求中标人更换运维人员，中标人参与本项目的运维人员须经采购人认可。当中标人人员发生变动时，须提前15天通知采购人。中标人的新人员名单须由双方共同确认，在未确认前，原人员必须继续承当相应职责。</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2、资产保管要求。中标人具有承担保管运维范围内全部资产的义务，编制固定资产保管清单，严格按照资产清单进行规范管理，对所维护的硬件、软件的变更及时进行更新登记，包括流程图、线路图、系统图、设备清单等文档记录；对资产的遗失、损坏应该承担赔偿责任。</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3、文档管理要求。中标人需要根据市场监管信息系统的功能和特点，做好运维过程的所有文档的记录和归档工作，每个月汇总一次，按照相关要求装订成册，提交给</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4、安全管理要求。中标人必须服从</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对网络与信息安全的各项管理规定和要求，按照</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有关规定签署《信息安全协议》。对因工作疏失出现的网络与信息安全责任事故，必须承担相应责任，接受惩处。</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5、人员管理要求。中标人根据</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的有关工作制度，如作息时间、着装、考勤制度、重大活动保障制度、应急事件管理规定等，制定有关规范对运维技术人员进行管理，中标人投标文件与</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有关工作制度不一致的，以</w:t>
      </w:r>
      <w:r>
        <w:rPr>
          <w:rFonts w:hint="eastAsia" w:ascii="宋体" w:hAnsi="宋体" w:cs="宋体"/>
          <w:kern w:val="0"/>
          <w:sz w:val="24"/>
          <w:szCs w:val="24"/>
          <w:lang w:val="en-US" w:eastAsia="zh-CN"/>
        </w:rPr>
        <w:t>甲方</w:t>
      </w:r>
      <w:r>
        <w:rPr>
          <w:rFonts w:hint="eastAsia" w:ascii="宋体" w:hAnsi="宋体" w:eastAsia="宋体" w:cs="宋体"/>
          <w:kern w:val="0"/>
          <w:sz w:val="24"/>
          <w:szCs w:val="24"/>
        </w:rPr>
        <w:t>工作制度为准。</w:t>
      </w:r>
    </w:p>
    <w:p>
      <w:pPr>
        <w:widowControl/>
        <w:snapToGrid w:val="0"/>
        <w:spacing w:line="460" w:lineRule="exact"/>
        <w:ind w:firstLine="420"/>
        <w:jc w:val="left"/>
        <w:rPr>
          <w:rFonts w:ascii="宋体" w:hAnsi="宋体" w:eastAsia="宋体" w:cs="宋体"/>
          <w:kern w:val="0"/>
          <w:sz w:val="24"/>
          <w:szCs w:val="24"/>
        </w:rPr>
      </w:pPr>
      <w:r>
        <w:rPr>
          <w:rFonts w:hint="eastAsia" w:ascii="宋体" w:hAnsi="宋体" w:eastAsia="宋体" w:cs="宋体"/>
          <w:kern w:val="0"/>
          <w:sz w:val="24"/>
          <w:szCs w:val="24"/>
        </w:rPr>
        <w:t>6、绩效考核要求。中标人应该依据招标文件，以提供优质的信息服务产品为工作目标，建立工作规范、服务流程和管理制度等。</w:t>
      </w:r>
    </w:p>
    <w:p>
      <w:pPr>
        <w:pStyle w:val="16"/>
        <w:spacing w:before="0" w:beforeAutospacing="0" w:after="0" w:afterAutospacing="0" w:line="460" w:lineRule="exact"/>
        <w:ind w:firstLine="420"/>
        <w:rPr>
          <w:rFonts w:hint="eastAsia"/>
          <w:lang w:val="en-US" w:eastAsia="zh-CN"/>
        </w:rPr>
      </w:pPr>
      <w:r>
        <w:rPr>
          <w:rFonts w:hint="eastAsia"/>
        </w:rPr>
        <w:t>7、其他要求：为保证业务的稳定可靠运行，同时便于对设备和运维服务进行管理和监督。中标人需</w:t>
      </w:r>
      <w:r>
        <w:rPr>
          <w:rFonts w:hint="eastAsia"/>
          <w:lang w:val="en-US" w:eastAsia="zh-CN"/>
        </w:rPr>
        <w:t>以软件或手工方式对维保设备状况、资料进行管理，能按客户要求提供相应的报表。</w:t>
      </w:r>
    </w:p>
    <w:p>
      <w:pPr>
        <w:pStyle w:val="16"/>
        <w:spacing w:line="460" w:lineRule="exact"/>
        <w:ind w:left="0" w:leftChars="0" w:firstLine="420" w:firstLineChars="0"/>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8、UPS电池更新</w:t>
      </w:r>
    </w:p>
    <w:tbl>
      <w:tblPr>
        <w:tblStyle w:val="20"/>
        <w:tblW w:w="8274"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629"/>
        <w:gridCol w:w="3922"/>
        <w:gridCol w:w="951"/>
        <w:gridCol w:w="8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rPr>
          <w:trHeight w:val="90" w:hRule="atLeast"/>
        </w:trPr>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firstLineChars="0"/>
              <w:jc w:val="center"/>
              <w:rPr>
                <w:rFonts w:hint="eastAsia" w:eastAsiaTheme="minorEastAsia"/>
                <w:color w:val="FF0000"/>
                <w:lang w:val="en-US" w:eastAsia="zh-CN"/>
              </w:rPr>
            </w:pPr>
            <w:r>
              <w:rPr>
                <w:rFonts w:ascii="宋体" w:hAnsi="宋体" w:eastAsia="宋体" w:cs="宋体"/>
                <w:b/>
                <w:color w:val="FF0000"/>
                <w:sz w:val="24"/>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firstLineChars="0"/>
              <w:jc w:val="center"/>
              <w:rPr>
                <w:rFonts w:hint="eastAsia" w:eastAsiaTheme="minorEastAsia"/>
                <w:color w:val="FF0000"/>
                <w:lang w:val="en-US" w:eastAsia="zh-CN"/>
              </w:rPr>
            </w:pPr>
            <w:r>
              <w:rPr>
                <w:rFonts w:ascii="宋体" w:hAnsi="宋体" w:eastAsia="宋体" w:cs="宋体"/>
                <w:b/>
                <w:color w:val="FF0000"/>
                <w:sz w:val="24"/>
              </w:rPr>
              <w:t>项目名称</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firstLineChars="0"/>
              <w:jc w:val="center"/>
              <w:rPr>
                <w:rFonts w:hint="eastAsia" w:eastAsiaTheme="minorEastAsia"/>
                <w:color w:val="FF0000"/>
                <w:lang w:val="en-US" w:eastAsia="zh-CN"/>
              </w:rPr>
            </w:pPr>
            <w:r>
              <w:rPr>
                <w:rFonts w:ascii="宋体" w:hAnsi="宋体" w:eastAsia="宋体" w:cs="宋体"/>
                <w:b/>
                <w:color w:val="FF0000"/>
                <w:sz w:val="24"/>
              </w:rPr>
              <w:t>规格</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241" w:firstLineChars="100"/>
              <w:jc w:val="both"/>
              <w:rPr>
                <w:rFonts w:hint="eastAsia" w:eastAsiaTheme="minorEastAsia"/>
                <w:color w:val="FF0000"/>
                <w:lang w:val="en-US" w:eastAsia="zh-CN"/>
              </w:rPr>
            </w:pPr>
            <w:r>
              <w:rPr>
                <w:rFonts w:ascii="宋体" w:hAnsi="宋体" w:eastAsia="宋体" w:cs="宋体"/>
                <w:b/>
                <w:color w:val="FF0000"/>
                <w:sz w:val="24"/>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241" w:firstLineChars="100"/>
              <w:jc w:val="both"/>
              <w:rPr>
                <w:color w:val="FF0000"/>
              </w:rPr>
            </w:pPr>
            <w:r>
              <w:rPr>
                <w:rFonts w:ascii="宋体" w:hAnsi="宋体" w:eastAsia="宋体" w:cs="宋体"/>
                <w:b/>
                <w:color w:val="FF0000"/>
                <w:sz w:val="24"/>
              </w:rPr>
              <w:t>数量</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FF0000"/>
                <w:lang w:eastAsia="zh-CN"/>
              </w:rPr>
            </w:pPr>
            <w:r>
              <w:rPr>
                <w:rFonts w:hint="eastAsia" w:ascii="宋体" w:hAnsi="宋体" w:eastAsia="宋体" w:cs="宋体"/>
                <w:b/>
                <w:color w:val="FF0000"/>
                <w:sz w:val="24"/>
                <w:lang w:val="en-US" w:eastAsia="zh-CN"/>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both"/>
              <w:rPr>
                <w:rFonts w:hint="eastAsia" w:eastAsia="宋体"/>
                <w:color w:val="FF0000"/>
                <w:lang w:val="en-US" w:eastAsia="zh-CN"/>
              </w:rPr>
            </w:pPr>
            <w:r>
              <w:rPr>
                <w:rFonts w:hint="eastAsia" w:ascii="宋体" w:hAnsi="宋体" w:eastAsia="宋体" w:cs="宋体"/>
                <w:color w:val="FF0000"/>
                <w:sz w:val="24"/>
                <w:szCs w:val="24"/>
              </w:rPr>
              <w:t>UPS电池</w:t>
            </w:r>
            <w:r>
              <w:rPr>
                <w:rFonts w:hint="eastAsia" w:ascii="宋体" w:hAnsi="宋体" w:eastAsia="宋体" w:cs="宋体"/>
                <w:color w:val="FF0000"/>
                <w:sz w:val="24"/>
                <w:szCs w:val="24"/>
                <w:lang w:val="en-US" w:eastAsia="zh-CN"/>
              </w:rPr>
              <w:t>更新</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1、</w:t>
            </w:r>
            <w:r>
              <w:rPr>
                <w:rFonts w:hint="eastAsia" w:ascii="宋体" w:hAnsi="宋体" w:eastAsia="宋体" w:cs="宋体"/>
                <w:b/>
                <w:color w:val="FF0000"/>
                <w:sz w:val="24"/>
                <w:lang w:val="en-US" w:eastAsia="zh-CN"/>
              </w:rPr>
              <w:t>每台UPS安装一组全新的蓄电池（单体容量12V-100AH），3台共3组电池，每组32节共96节蓄电池重新安装；每台UPS旧蓄电池拆除，</w:t>
            </w:r>
            <w:r>
              <w:rPr>
                <w:rFonts w:hint="eastAsia" w:ascii="宋体" w:hAnsi="宋体" w:cs="宋体"/>
                <w:b/>
                <w:color w:val="FF0000"/>
                <w:sz w:val="24"/>
                <w:lang w:val="en-US" w:eastAsia="zh-CN"/>
              </w:rPr>
              <w:t>含</w:t>
            </w:r>
            <w:r>
              <w:rPr>
                <w:rFonts w:hint="eastAsia" w:ascii="宋体" w:hAnsi="宋体" w:eastAsia="宋体" w:cs="宋体"/>
                <w:b/>
                <w:color w:val="FF0000"/>
                <w:sz w:val="24"/>
                <w:lang w:val="en-US" w:eastAsia="zh-CN"/>
              </w:rPr>
              <w:t>拆除、搬运及处理；新旧蓄电池的安装、拆除、搬运及处理所产生的费用应应包含在投标总价中。</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2、</w:t>
            </w:r>
            <w:r>
              <w:rPr>
                <w:rFonts w:hint="eastAsia" w:ascii="宋体" w:hAnsi="宋体" w:eastAsia="宋体" w:cs="宋体"/>
                <w:b/>
                <w:color w:val="FF0000"/>
                <w:sz w:val="24"/>
                <w:lang w:val="en-US" w:eastAsia="zh-CN"/>
              </w:rPr>
              <w:t>当蓄电池环境温度在-10℃- +45℃条件下，其性能应满足正常使用要求。</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3、</w:t>
            </w:r>
            <w:r>
              <w:rPr>
                <w:rFonts w:hint="eastAsia" w:ascii="宋体" w:hAnsi="宋体" w:eastAsia="宋体" w:cs="宋体"/>
                <w:b/>
                <w:color w:val="FF0000"/>
                <w:sz w:val="24"/>
                <w:lang w:val="en-US" w:eastAsia="zh-CN"/>
              </w:rPr>
              <w:t>蓄电池在我局目前机房环境温度25℃时的折合浮充寿命不低于6年，在此期间内如有电池故障应免费予以更换。</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4、</w:t>
            </w:r>
            <w:r>
              <w:rPr>
                <w:rFonts w:hint="eastAsia" w:ascii="宋体" w:hAnsi="宋体" w:eastAsia="宋体" w:cs="宋体"/>
                <w:b/>
                <w:color w:val="FF0000"/>
                <w:sz w:val="24"/>
                <w:lang w:val="en-US" w:eastAsia="zh-CN"/>
              </w:rPr>
              <w:t>蓄电池间接线板、终端接头应选择导电性能优良的材料，满足接线要求，并具有防腐蚀措施。</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5、</w:t>
            </w:r>
            <w:r>
              <w:rPr>
                <w:rFonts w:hint="eastAsia" w:ascii="宋体" w:hAnsi="宋体" w:eastAsia="宋体" w:cs="宋体"/>
                <w:b/>
                <w:color w:val="FF0000"/>
                <w:sz w:val="24"/>
                <w:lang w:val="en-US" w:eastAsia="zh-CN"/>
              </w:rPr>
              <w:t>蓄电池采用全密封防泄漏结构，外壳无异常变形、裂纹及污迹，标识应清晰，上盖及端子无损伤，蓄电池在正常浮充工作过程中应无酸雾逸出。</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6、</w:t>
            </w:r>
            <w:r>
              <w:rPr>
                <w:rFonts w:hint="eastAsia" w:ascii="宋体" w:hAnsi="宋体" w:eastAsia="宋体" w:cs="宋体"/>
                <w:b/>
                <w:color w:val="FF0000"/>
                <w:sz w:val="24"/>
                <w:lang w:val="en-US" w:eastAsia="zh-CN"/>
              </w:rPr>
              <w:t>蓄电池的正、负极端子应有明显标志，且便于连接，极板厚度应不小于3.5mm，与使用寿命相适应。</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7、</w:t>
            </w:r>
            <w:r>
              <w:rPr>
                <w:rFonts w:hint="eastAsia" w:ascii="宋体" w:hAnsi="宋体" w:eastAsia="宋体" w:cs="宋体"/>
                <w:b/>
                <w:color w:val="FF0000"/>
                <w:sz w:val="24"/>
                <w:lang w:val="en-US" w:eastAsia="zh-CN"/>
              </w:rPr>
              <w:t>蓄电池使用期间安全阀应自动开启闭合，开阀压力应在10kpa-35kpa范围内，闭阀压力应在3kpa-30kpa范围内。</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8、</w:t>
            </w:r>
            <w:r>
              <w:rPr>
                <w:rFonts w:hint="eastAsia" w:ascii="宋体" w:hAnsi="宋体" w:eastAsia="宋体" w:cs="宋体"/>
                <w:b/>
                <w:color w:val="FF0000"/>
                <w:sz w:val="24"/>
                <w:lang w:val="en-US" w:eastAsia="zh-CN"/>
              </w:rPr>
              <w:t>电池单体间互连应采用有绝缘的电缆或铜排连接，满足蓄电池组以30分钟放电率正常工作要求；电池单体需预留用于监控的测量端子及日常维护的测量空间，电池架应具有接地端子。</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9、</w:t>
            </w:r>
            <w:r>
              <w:rPr>
                <w:rFonts w:hint="eastAsia" w:ascii="宋体" w:hAnsi="宋体" w:eastAsia="宋体" w:cs="宋体"/>
                <w:b/>
                <w:color w:val="FF0000"/>
                <w:sz w:val="24"/>
                <w:lang w:val="en-US" w:eastAsia="zh-CN"/>
              </w:rPr>
              <w:t>大电流放电：蓄电池以30I10（A）放电3min，极柱应不熔断、内部汇流排应不熔断，其外观不得出现异常。</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10、</w:t>
            </w:r>
            <w:r>
              <w:rPr>
                <w:rFonts w:hint="eastAsia" w:ascii="宋体" w:hAnsi="宋体" w:eastAsia="宋体" w:cs="宋体"/>
                <w:b/>
                <w:color w:val="FF0000"/>
                <w:sz w:val="24"/>
                <w:lang w:val="en-US" w:eastAsia="zh-CN"/>
              </w:rPr>
              <w:t>蓄电池静置28天后，其容量保存率不低于97%。</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11、</w:t>
            </w:r>
            <w:r>
              <w:rPr>
                <w:rFonts w:hint="eastAsia" w:ascii="宋体" w:hAnsi="宋体" w:eastAsia="宋体" w:cs="宋体"/>
                <w:b/>
                <w:color w:val="FF0000"/>
                <w:sz w:val="24"/>
                <w:lang w:val="en-US" w:eastAsia="zh-CN"/>
              </w:rPr>
              <w:t>耐过充电能力：完全充电的蓄电池在25℃±5℃环境中再以0.03I10电流连续充电160h，静置1h，外观应无明显变形及渗液。</w:t>
            </w:r>
          </w:p>
          <w:p>
            <w:pPr>
              <w:pStyle w:val="34"/>
              <w:ind w:left="0" w:firstLine="0"/>
              <w:jc w:val="left"/>
              <w:rPr>
                <w:rFonts w:hint="eastAsia" w:ascii="宋体" w:hAnsi="宋体" w:eastAsia="宋体" w:cs="宋体"/>
                <w:b/>
                <w:color w:val="FF0000"/>
                <w:sz w:val="24"/>
                <w:lang w:val="en-US" w:eastAsia="zh-CN"/>
              </w:rPr>
            </w:pPr>
            <w:r>
              <w:rPr>
                <w:rFonts w:hint="eastAsia" w:ascii="宋体" w:hAnsi="宋体" w:cs="宋体"/>
                <w:b/>
                <w:color w:val="FF0000"/>
                <w:sz w:val="24"/>
                <w:lang w:val="en-US" w:eastAsia="zh-CN"/>
              </w:rPr>
              <w:t>12、</w:t>
            </w:r>
            <w:r>
              <w:rPr>
                <w:rFonts w:hint="eastAsia" w:ascii="宋体" w:hAnsi="宋体" w:eastAsia="宋体" w:cs="宋体"/>
                <w:b/>
                <w:color w:val="FF0000"/>
                <w:sz w:val="24"/>
                <w:lang w:val="en-US" w:eastAsia="zh-CN"/>
              </w:rPr>
              <w:t>封口剂性能：蓄电池在-30℃～＋65℃时，封口剂应无裂纹及溢流现象。</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FF0000"/>
              </w:rPr>
            </w:pPr>
            <w:r>
              <w:rPr>
                <w:rFonts w:ascii="宋体" w:hAnsi="宋体" w:eastAsia="宋体" w:cs="宋体"/>
                <w:b/>
                <w:color w:val="FF0000"/>
                <w:sz w:val="24"/>
              </w:rPr>
              <w:t>套</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FF0000"/>
              </w:rPr>
            </w:pPr>
            <w:r>
              <w:rPr>
                <w:rFonts w:ascii="宋体" w:hAnsi="宋体" w:eastAsia="宋体" w:cs="宋体"/>
                <w:b/>
                <w:color w:val="FF0000"/>
                <w:sz w:val="24"/>
              </w:rPr>
              <w:t>1</w:t>
            </w:r>
          </w:p>
        </w:tc>
      </w:tr>
    </w:tbl>
    <w:p>
      <w:pPr>
        <w:pStyle w:val="14"/>
        <w:rPr>
          <w:rFonts w:hint="eastAsia"/>
          <w:color w:val="FF0000"/>
        </w:rPr>
      </w:pPr>
    </w:p>
    <w:p>
      <w:pPr>
        <w:pStyle w:val="16"/>
        <w:spacing w:after="90" w:line="460" w:lineRule="exact"/>
        <w:ind w:firstLine="580" w:firstLineChars="242"/>
        <w:jc w:val="left"/>
        <w:rPr>
          <w:rFonts w:hint="eastAsia"/>
          <w:color w:val="auto"/>
        </w:rPr>
      </w:pPr>
      <w:r>
        <w:rPr>
          <w:rFonts w:hint="eastAsia" w:cs="Times New Roman" w:asciiTheme="minorHAnsi" w:hAnsiTheme="minorHAnsi" w:eastAsiaTheme="minorEastAsia"/>
          <w:b w:val="0"/>
          <w:color w:val="auto"/>
          <w:sz w:val="24"/>
          <w:lang w:val="en-US" w:eastAsia="zh-CN"/>
        </w:rPr>
        <w:t>9、</w:t>
      </w:r>
      <w:r>
        <w:rPr>
          <w:rFonts w:hint="eastAsia" w:cs="Times New Roman" w:asciiTheme="minorHAnsi" w:hAnsiTheme="minorHAnsi" w:eastAsiaTheme="minorEastAsia"/>
          <w:b w:val="0"/>
          <w:color w:val="auto"/>
          <w:sz w:val="24"/>
        </w:rPr>
        <w:t>备品备件表</w:t>
      </w:r>
    </w:p>
    <w:tbl>
      <w:tblPr>
        <w:tblStyle w:val="20"/>
        <w:tblW w:w="8274" w:type="dxa"/>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
      <w:tblGrid>
        <w:gridCol w:w="922"/>
        <w:gridCol w:w="1629"/>
        <w:gridCol w:w="3922"/>
        <w:gridCol w:w="951"/>
        <w:gridCol w:w="850"/>
      </w:tblGrid>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4"/>
              <w:ind w:firstLine="0"/>
              <w:jc w:val="center"/>
              <w:rPr>
                <w:color w:val="auto"/>
              </w:rPr>
            </w:pPr>
            <w:r>
              <w:rPr>
                <w:rFonts w:ascii="宋体" w:hAnsi="宋体" w:eastAsia="宋体" w:cs="宋体"/>
                <w:b/>
                <w:color w:val="auto"/>
                <w:sz w:val="24"/>
              </w:rPr>
              <w:t>序号</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4"/>
              <w:ind w:firstLine="0"/>
              <w:jc w:val="center"/>
              <w:rPr>
                <w:color w:val="auto"/>
              </w:rPr>
            </w:pPr>
            <w:r>
              <w:rPr>
                <w:rFonts w:ascii="宋体" w:hAnsi="宋体" w:eastAsia="宋体" w:cs="宋体"/>
                <w:b/>
                <w:color w:val="auto"/>
                <w:sz w:val="24"/>
              </w:rPr>
              <w:t>项目名称</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4"/>
              <w:ind w:firstLine="380"/>
              <w:jc w:val="center"/>
              <w:rPr>
                <w:color w:val="auto"/>
              </w:rPr>
            </w:pPr>
            <w:r>
              <w:rPr>
                <w:rFonts w:ascii="宋体" w:hAnsi="宋体" w:eastAsia="宋体" w:cs="宋体"/>
                <w:b/>
                <w:color w:val="auto"/>
                <w:sz w:val="24"/>
              </w:rPr>
              <w:t>规格</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4"/>
              <w:ind w:firstLine="0"/>
              <w:jc w:val="center"/>
              <w:rPr>
                <w:color w:val="auto"/>
              </w:rPr>
            </w:pPr>
            <w:r>
              <w:rPr>
                <w:rFonts w:ascii="宋体" w:hAnsi="宋体" w:eastAsia="宋体" w:cs="宋体"/>
                <w:b/>
                <w:color w:val="auto"/>
                <w:sz w:val="24"/>
              </w:rPr>
              <w:t>单位</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pStyle w:val="34"/>
              <w:ind w:firstLine="0"/>
              <w:jc w:val="center"/>
              <w:rPr>
                <w:color w:val="auto"/>
              </w:rPr>
            </w:pPr>
            <w:r>
              <w:rPr>
                <w:rFonts w:ascii="宋体" w:hAnsi="宋体" w:eastAsia="宋体" w:cs="宋体"/>
                <w:b/>
                <w:color w:val="auto"/>
                <w:sz w:val="24"/>
              </w:rPr>
              <w:t>数量</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auto"/>
              </w:rPr>
            </w:pPr>
            <w:r>
              <w:rPr>
                <w:rFonts w:ascii="宋体" w:hAnsi="宋体" w:eastAsia="宋体" w:cs="宋体"/>
                <w:b/>
                <w:color w:val="auto"/>
                <w:sz w:val="24"/>
              </w:rPr>
              <w:t>1</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both"/>
              <w:rPr>
                <w:color w:val="auto"/>
              </w:rPr>
            </w:pPr>
            <w:r>
              <w:rPr>
                <w:rFonts w:ascii="宋体" w:hAnsi="宋体" w:eastAsia="宋体" w:cs="宋体"/>
                <w:b/>
                <w:color w:val="auto"/>
                <w:sz w:val="24"/>
              </w:rPr>
              <w:t>六类非屏蔽信息点单孔插座(含面板)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auto"/>
              </w:rPr>
            </w:pPr>
            <w:r>
              <w:rPr>
                <w:rFonts w:ascii="宋体" w:hAnsi="宋体" w:eastAsia="宋体" w:cs="宋体"/>
                <w:b/>
                <w:color w:val="auto"/>
                <w:sz w:val="24"/>
              </w:rPr>
              <w:t>按实际需求配置</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center"/>
              <w:rPr>
                <w:color w:val="auto"/>
              </w:rPr>
            </w:pPr>
            <w:r>
              <w:rPr>
                <w:rFonts w:ascii="宋体" w:hAnsi="宋体" w:eastAsia="宋体" w:cs="宋体"/>
                <w:b/>
                <w:color w:val="auto"/>
                <w:sz w:val="24"/>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auto"/>
              </w:rPr>
            </w:pPr>
            <w:r>
              <w:rPr>
                <w:rFonts w:ascii="宋体" w:hAnsi="宋体" w:eastAsia="宋体" w:cs="宋体"/>
                <w:b/>
                <w:color w:val="auto"/>
                <w:sz w:val="24"/>
              </w:rPr>
              <w:t>2</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both"/>
              <w:rPr>
                <w:color w:val="auto"/>
              </w:rPr>
            </w:pPr>
            <w:r>
              <w:rPr>
                <w:rFonts w:ascii="宋体" w:hAnsi="宋体" w:eastAsia="宋体" w:cs="宋体"/>
                <w:b/>
                <w:color w:val="auto"/>
                <w:sz w:val="24"/>
              </w:rPr>
              <w:t>六类非屏蔽信息点双孔插座(含面板)</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auto"/>
              </w:rPr>
            </w:pPr>
            <w:r>
              <w:rPr>
                <w:rFonts w:ascii="宋体" w:hAnsi="宋体" w:eastAsia="宋体" w:cs="宋体"/>
                <w:b/>
                <w:color w:val="auto"/>
                <w:sz w:val="24"/>
              </w:rPr>
              <w:t>按实际需求配置</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center"/>
              <w:rPr>
                <w:color w:val="auto"/>
              </w:rPr>
            </w:pPr>
            <w:r>
              <w:rPr>
                <w:rFonts w:ascii="宋体" w:hAnsi="宋体" w:eastAsia="宋体" w:cs="宋体"/>
                <w:b/>
                <w:color w:val="auto"/>
                <w:sz w:val="24"/>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color w:val="auto"/>
              </w:rPr>
            </w:pPr>
            <w:r>
              <w:rPr>
                <w:rFonts w:ascii="宋体" w:hAnsi="宋体" w:eastAsia="宋体" w:cs="宋体"/>
                <w:b/>
                <w:color w:val="auto"/>
                <w:sz w:val="24"/>
              </w:rPr>
              <w:t>3</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left="0" w:firstLine="0"/>
              <w:jc w:val="left"/>
              <w:rPr>
                <w:rFonts w:hint="eastAsia" w:ascii="宋体" w:hAnsi="宋体" w:eastAsia="宋体" w:cs="宋体"/>
                <w:b/>
                <w:color w:val="auto"/>
                <w:sz w:val="24"/>
              </w:rPr>
            </w:pPr>
            <w:r>
              <w:rPr>
                <w:rFonts w:hint="eastAsia" w:ascii="宋体" w:hAnsi="宋体" w:eastAsia="宋体" w:cs="宋体"/>
                <w:b/>
                <w:color w:val="auto"/>
                <w:sz w:val="24"/>
              </w:rPr>
              <w:t>配线架系统</w:t>
            </w:r>
          </w:p>
          <w:p>
            <w:pPr>
              <w:pStyle w:val="34"/>
              <w:ind w:firstLine="380"/>
              <w:jc w:val="center"/>
              <w:rPr>
                <w:color w:val="auto"/>
              </w:rPr>
            </w:pP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1.高度1U/24口，用于19英寸标准机柜</w:t>
            </w:r>
          </w:p>
          <w:p>
            <w:pPr>
              <w:pStyle w:val="34"/>
              <w:ind w:left="105" w:firstLine="380"/>
              <w:jc w:val="left"/>
              <w:rPr>
                <w:color w:val="auto"/>
              </w:rPr>
            </w:pPr>
            <w:r>
              <w:rPr>
                <w:rFonts w:hint="eastAsia" w:ascii="宋体" w:hAnsi="宋体" w:eastAsia="宋体" w:cs="宋体"/>
                <w:b/>
                <w:color w:val="auto"/>
                <w:sz w:val="24"/>
              </w:rPr>
              <w:t>2.根据应用需要，可以配合超五类非屏蔽/屏蔽模块，六类非屏蔽/屏蔽模块和超六类非屏蔽/屏蔽模块使用</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center"/>
              <w:rPr>
                <w:rFonts w:hint="eastAsia" w:eastAsiaTheme="minorEastAsia"/>
                <w:color w:val="auto"/>
                <w:lang w:eastAsia="zh-CN"/>
              </w:rPr>
            </w:pPr>
            <w:r>
              <w:rPr>
                <w:rFonts w:hint="eastAsia" w:ascii="宋体" w:hAnsi="宋体" w:eastAsia="宋体" w:cs="宋体"/>
                <w:b/>
                <w:color w:val="auto"/>
                <w:sz w:val="24"/>
                <w:lang w:val="en-US" w:eastAsia="zh-CN"/>
              </w:rPr>
              <w:t>个</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fixed"/>
          <w:tblCellMar>
            <w:top w:w="0" w:type="dxa"/>
            <w:left w:w="108" w:type="dxa"/>
            <w:bottom w:w="0" w:type="dxa"/>
            <w:right w:w="108" w:type="dxa"/>
          </w:tblCellMar>
        </w:tblPrEx>
        <w:tc>
          <w:tcPr>
            <w:tcW w:w="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4</w:t>
            </w:r>
          </w:p>
        </w:tc>
        <w:tc>
          <w:tcPr>
            <w:tcW w:w="162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both"/>
              <w:rPr>
                <w:color w:val="auto"/>
              </w:rPr>
            </w:pPr>
            <w:r>
              <w:rPr>
                <w:rFonts w:hint="eastAsia" w:ascii="宋体" w:hAnsi="宋体" w:eastAsia="宋体" w:cs="宋体"/>
                <w:b/>
                <w:color w:val="auto"/>
                <w:sz w:val="24"/>
                <w:lang w:val="en-US" w:eastAsia="zh-CN"/>
              </w:rPr>
              <w:t>网络交换机</w:t>
            </w:r>
          </w:p>
        </w:tc>
        <w:tc>
          <w:tcPr>
            <w:tcW w:w="392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left="105" w:firstLine="380"/>
              <w:jc w:val="left"/>
              <w:rPr>
                <w:rFonts w:hint="eastAsia" w:ascii="宋体" w:hAnsi="宋体" w:eastAsia="宋体" w:cs="宋体"/>
                <w:b/>
                <w:color w:val="auto"/>
                <w:sz w:val="24"/>
              </w:rPr>
            </w:pPr>
            <w:r>
              <w:rPr>
                <w:rFonts w:hint="eastAsia" w:ascii="宋体" w:hAnsi="宋体" w:eastAsia="宋体" w:cs="宋体"/>
                <w:b/>
                <w:color w:val="auto"/>
                <w:sz w:val="24"/>
              </w:rPr>
              <w:t>1.交换容量≥330Gbps，转发性能≥50Mpps；</w:t>
            </w:r>
          </w:p>
          <w:p>
            <w:pPr>
              <w:pStyle w:val="34"/>
              <w:ind w:left="105" w:firstLine="380"/>
              <w:jc w:val="left"/>
              <w:rPr>
                <w:color w:val="auto"/>
              </w:rPr>
            </w:pPr>
            <w:r>
              <w:rPr>
                <w:rFonts w:hint="eastAsia" w:ascii="宋体" w:hAnsi="宋体" w:eastAsia="宋体" w:cs="宋体"/>
                <w:b/>
                <w:color w:val="auto"/>
                <w:sz w:val="24"/>
              </w:rPr>
              <w:t>2.固化10/100/1000M以太网端口≥24，固化1G SFP光接口≥4个；整机最大可用千兆口≥28；</w:t>
            </w:r>
          </w:p>
        </w:tc>
        <w:tc>
          <w:tcPr>
            <w:tcW w:w="95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0"/>
              <w:jc w:val="center"/>
              <w:rPr>
                <w:color w:val="auto"/>
              </w:rPr>
            </w:pPr>
            <w:r>
              <w:rPr>
                <w:rFonts w:ascii="宋体" w:hAnsi="宋体" w:eastAsia="宋体" w:cs="宋体"/>
                <w:b/>
                <w:color w:val="auto"/>
                <w:sz w:val="24"/>
              </w:rPr>
              <w:t>台</w:t>
            </w:r>
          </w:p>
        </w:tc>
        <w:tc>
          <w:tcPr>
            <w:tcW w:w="8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top"/>
          </w:tcPr>
          <w:p>
            <w:pPr>
              <w:pStyle w:val="34"/>
              <w:ind w:firstLine="380"/>
              <w:jc w:val="center"/>
              <w:rPr>
                <w:rFonts w:hint="eastAsia" w:eastAsiaTheme="minorEastAsia"/>
                <w:color w:val="auto"/>
                <w:lang w:eastAsia="zh-CN"/>
              </w:rPr>
            </w:pPr>
            <w:r>
              <w:rPr>
                <w:rFonts w:hint="eastAsia" w:ascii="宋体" w:hAnsi="宋体" w:eastAsia="宋体" w:cs="宋体"/>
                <w:b/>
                <w:color w:val="auto"/>
                <w:sz w:val="24"/>
                <w:lang w:val="en-US" w:eastAsia="zh-CN"/>
              </w:rPr>
              <w:t>1</w:t>
            </w:r>
          </w:p>
        </w:tc>
      </w:tr>
    </w:tbl>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2" w:firstLineChars="200"/>
        <w:outlineLvl w:val="2"/>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五四</w:t>
      </w:r>
      <w:r>
        <w:rPr>
          <w:rFonts w:hint="eastAsia" w:ascii="宋体" w:hAnsi="宋体" w:eastAsia="宋体" w:cs="宋体"/>
          <w:b/>
          <w:bCs w:val="0"/>
          <w:color w:val="auto"/>
          <w:sz w:val="24"/>
          <w:szCs w:val="24"/>
          <w:lang w:eastAsia="zh-CN"/>
        </w:rPr>
        <w:t>路办公区机房维保及运维服务</w:t>
      </w:r>
    </w:p>
    <w:p>
      <w:pPr>
        <w:ind w:firstLine="480" w:firstLineChars="200"/>
        <w:outlineLvl w:val="9"/>
        <w:rPr>
          <w:rFonts w:hint="eastAsia" w:ascii="宋体" w:hAnsi="宋体" w:eastAsia="宋体" w:cs="宋体"/>
          <w:b w:val="0"/>
          <w:bCs/>
          <w:sz w:val="24"/>
          <w:szCs w:val="24"/>
          <w:shd w:val="clear" w:fill="FFFFFF"/>
        </w:rPr>
      </w:pPr>
      <w:r>
        <w:rPr>
          <w:rFonts w:hint="eastAsia" w:ascii="宋体" w:hAnsi="宋体" w:cs="宋体"/>
          <w:b w:val="0"/>
          <w:bCs/>
          <w:sz w:val="24"/>
          <w:szCs w:val="24"/>
          <w:shd w:val="clear" w:fill="FFFFFF"/>
          <w:lang w:val="en-US" w:eastAsia="zh-CN"/>
        </w:rPr>
        <w:t>按甲方指定的日期开始，提供13个月的服务</w:t>
      </w:r>
      <w:r>
        <w:rPr>
          <w:rFonts w:hint="eastAsia" w:ascii="宋体" w:hAnsi="宋体" w:eastAsia="宋体" w:cs="宋体"/>
          <w:b w:val="0"/>
          <w:bCs/>
          <w:sz w:val="24"/>
          <w:szCs w:val="24"/>
          <w:shd w:val="clear" w:fill="FFFFFF"/>
        </w:rPr>
        <w:t>。</w:t>
      </w:r>
    </w:p>
    <w:p>
      <w:pPr>
        <w:pStyle w:val="4"/>
        <w:numPr>
          <w:ilvl w:val="1"/>
          <w:numId w:val="0"/>
        </w:numPr>
        <w:tabs>
          <w:tab w:val="left" w:pos="210"/>
        </w:tabs>
        <w:spacing w:line="360" w:lineRule="auto"/>
        <w:ind w:leftChars="0"/>
        <w:outlineLvl w:val="1"/>
        <w:rPr>
          <w:rFonts w:hint="eastAsia" w:ascii="宋体" w:hAnsi="宋体" w:eastAsia="宋体" w:cs="宋体"/>
          <w:bCs w:val="0"/>
          <w:kern w:val="0"/>
          <w:sz w:val="24"/>
          <w:szCs w:val="24"/>
        </w:rPr>
      </w:pPr>
      <w:r>
        <w:rPr>
          <w:rFonts w:hint="eastAsia" w:ascii="宋体" w:hAnsi="宋体" w:eastAsia="宋体" w:cs="宋体"/>
          <w:bCs w:val="0"/>
          <w:kern w:val="0"/>
          <w:sz w:val="24"/>
          <w:szCs w:val="24"/>
          <w:lang w:val="en-US" w:eastAsia="zh-CN"/>
        </w:rPr>
        <w:t>1.主要设备清单</w:t>
      </w:r>
    </w:p>
    <w:tbl>
      <w:tblPr>
        <w:tblStyle w:val="20"/>
        <w:tblW w:w="8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892"/>
        <w:gridCol w:w="1555"/>
        <w:gridCol w:w="3285"/>
        <w:gridCol w:w="1182"/>
        <w:gridCol w:w="573"/>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600" w:hRule="atLeast"/>
        </w:trPr>
        <w:tc>
          <w:tcPr>
            <w:tcW w:w="89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序号</w:t>
            </w:r>
          </w:p>
        </w:tc>
        <w:tc>
          <w:tcPr>
            <w:tcW w:w="155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产品名称</w:t>
            </w:r>
          </w:p>
        </w:tc>
        <w:tc>
          <w:tcPr>
            <w:tcW w:w="328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设备型号</w:t>
            </w:r>
          </w:p>
        </w:tc>
        <w:tc>
          <w:tcPr>
            <w:tcW w:w="118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品 牌</w:t>
            </w:r>
          </w:p>
        </w:tc>
        <w:tc>
          <w:tcPr>
            <w:tcW w:w="573"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数量</w:t>
            </w:r>
          </w:p>
        </w:tc>
        <w:tc>
          <w:tcPr>
            <w:tcW w:w="896"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45" w:hRule="atLeast"/>
        </w:trPr>
        <w:tc>
          <w:tcPr>
            <w:tcW w:w="89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c>
          <w:tcPr>
            <w:tcW w:w="155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中心机房保修</w:t>
            </w:r>
          </w:p>
        </w:tc>
        <w:tc>
          <w:tcPr>
            <w:tcW w:w="328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装饰系统、电气系统、综合布线系、统新风系统、环境监控系统、KVM系统</w:t>
            </w:r>
          </w:p>
        </w:tc>
        <w:tc>
          <w:tcPr>
            <w:tcW w:w="1182" w:type="dxa"/>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center"/>
              <w:rPr>
                <w:rFonts w:hint="eastAsia" w:ascii="宋体" w:hAnsi="宋体" w:eastAsia="宋体" w:cs="宋体"/>
                <w:i w:val="0"/>
                <w:caps w:val="0"/>
                <w:color w:val="000000"/>
                <w:spacing w:val="0"/>
                <w:sz w:val="24"/>
                <w:szCs w:val="24"/>
              </w:rPr>
            </w:pPr>
          </w:p>
        </w:tc>
        <w:tc>
          <w:tcPr>
            <w:tcW w:w="573"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c>
          <w:tcPr>
            <w:tcW w:w="896"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15" w:hRule="atLeast"/>
        </w:trPr>
        <w:tc>
          <w:tcPr>
            <w:tcW w:w="89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c>
          <w:tcPr>
            <w:tcW w:w="155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UPS保修服务</w:t>
            </w:r>
          </w:p>
        </w:tc>
        <w:tc>
          <w:tcPr>
            <w:tcW w:w="328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GRK63120</w:t>
            </w:r>
          </w:p>
        </w:tc>
        <w:tc>
          <w:tcPr>
            <w:tcW w:w="118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科华</w:t>
            </w:r>
          </w:p>
        </w:tc>
        <w:tc>
          <w:tcPr>
            <w:tcW w:w="573"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c>
          <w:tcPr>
            <w:tcW w:w="896"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15" w:hRule="atLeast"/>
        </w:trPr>
        <w:tc>
          <w:tcPr>
            <w:tcW w:w="89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w:t>
            </w:r>
          </w:p>
        </w:tc>
        <w:tc>
          <w:tcPr>
            <w:tcW w:w="155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精密空调</w:t>
            </w:r>
          </w:p>
        </w:tc>
        <w:tc>
          <w:tcPr>
            <w:tcW w:w="328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ASD622A</w:t>
            </w:r>
          </w:p>
        </w:tc>
        <w:tc>
          <w:tcPr>
            <w:tcW w:w="118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世图兹</w:t>
            </w:r>
          </w:p>
        </w:tc>
        <w:tc>
          <w:tcPr>
            <w:tcW w:w="573"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c>
          <w:tcPr>
            <w:tcW w:w="896"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615" w:hRule="atLeast"/>
        </w:trPr>
        <w:tc>
          <w:tcPr>
            <w:tcW w:w="892"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w:t>
            </w:r>
          </w:p>
        </w:tc>
        <w:tc>
          <w:tcPr>
            <w:tcW w:w="1555"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消防系统</w:t>
            </w:r>
          </w:p>
        </w:tc>
        <w:tc>
          <w:tcPr>
            <w:tcW w:w="3285" w:type="dxa"/>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center"/>
              <w:rPr>
                <w:rFonts w:hint="eastAsia" w:ascii="宋体" w:hAnsi="宋体" w:eastAsia="宋体" w:cs="宋体"/>
                <w:i w:val="0"/>
                <w:caps w:val="0"/>
                <w:color w:val="000000"/>
                <w:spacing w:val="0"/>
                <w:sz w:val="24"/>
                <w:szCs w:val="24"/>
              </w:rPr>
            </w:pPr>
          </w:p>
        </w:tc>
        <w:tc>
          <w:tcPr>
            <w:tcW w:w="1182" w:type="dxa"/>
            <w:shd w:val="clear" w:color="auto" w:fill="auto"/>
            <w:tcMar>
              <w:top w:w="0" w:type="dxa"/>
              <w:left w:w="105" w:type="dxa"/>
              <w:bottom w:w="0" w:type="dxa"/>
              <w:right w:w="105" w:type="dxa"/>
            </w:tcMar>
            <w:vAlign w:val="center"/>
          </w:tcPr>
          <w:p>
            <w:pPr>
              <w:keepNext w:val="0"/>
              <w:keepLines w:val="0"/>
              <w:widowControl/>
              <w:suppressLineNumbers w:val="0"/>
              <w:spacing w:line="240" w:lineRule="auto"/>
              <w:jc w:val="center"/>
              <w:rPr>
                <w:rFonts w:hint="eastAsia" w:ascii="宋体" w:hAnsi="宋体" w:eastAsia="宋体" w:cs="宋体"/>
                <w:i w:val="0"/>
                <w:caps w:val="0"/>
                <w:color w:val="000000"/>
                <w:spacing w:val="0"/>
                <w:sz w:val="24"/>
                <w:szCs w:val="24"/>
              </w:rPr>
            </w:pPr>
          </w:p>
        </w:tc>
        <w:tc>
          <w:tcPr>
            <w:tcW w:w="573"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c>
          <w:tcPr>
            <w:tcW w:w="896" w:type="dxa"/>
            <w:shd w:val="clear" w:color="auto" w:fill="auto"/>
            <w:tcMar>
              <w:top w:w="0" w:type="dxa"/>
              <w:left w:w="105" w:type="dxa"/>
              <w:bottom w:w="0" w:type="dxa"/>
              <w:right w:w="105" w:type="dxa"/>
            </w:tcMar>
            <w:vAlign w:val="center"/>
          </w:tcPr>
          <w:p>
            <w:pPr>
              <w:pStyle w:val="16"/>
              <w:keepNext w:val="0"/>
              <w:keepLines w:val="0"/>
              <w:widowControl/>
              <w:suppressLineNumbers w:val="0"/>
              <w:spacing w:line="240" w:lineRule="auto"/>
              <w:jc w:val="center"/>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项</w:t>
            </w:r>
          </w:p>
        </w:tc>
      </w:tr>
    </w:tbl>
    <w:p>
      <w:pPr>
        <w:pStyle w:val="4"/>
        <w:numPr>
          <w:ilvl w:val="1"/>
          <w:numId w:val="0"/>
        </w:numPr>
        <w:tabs>
          <w:tab w:val="left" w:pos="210"/>
        </w:tabs>
        <w:spacing w:line="360" w:lineRule="auto"/>
        <w:ind w:leftChars="0"/>
        <w:rPr>
          <w:rFonts w:hint="eastAsia" w:ascii="宋体" w:hAnsi="宋体" w:eastAsia="宋体" w:cs="宋体"/>
          <w:sz w:val="28"/>
          <w:szCs w:val="28"/>
          <w:lang w:val="en-US" w:eastAsia="zh-CN"/>
        </w:rPr>
      </w:pPr>
      <w:r>
        <w:rPr>
          <w:rFonts w:hint="eastAsia" w:ascii="宋体" w:hAnsi="宋体" w:eastAsia="宋体" w:cs="宋体"/>
          <w:bCs w:val="0"/>
          <w:kern w:val="0"/>
          <w:sz w:val="24"/>
          <w:szCs w:val="24"/>
          <w:lang w:val="en-US" w:eastAsia="zh-CN"/>
        </w:rPr>
        <w:t>2.技术和服务要求</w:t>
      </w:r>
    </w:p>
    <w:p>
      <w:pPr>
        <w:pStyle w:val="16"/>
        <w:keepNext w:val="0"/>
        <w:keepLines w:val="0"/>
        <w:widowControl/>
        <w:suppressLineNumbers w:val="0"/>
        <w:spacing w:before="0" w:beforeAutospacing="0" w:after="90" w:afterAutospacing="0"/>
        <w:outlineLvl w:val="1"/>
        <w:rPr>
          <w:rFonts w:hint="eastAsia" w:ascii="宋体" w:hAnsi="宋体" w:eastAsia="宋体" w:cs="宋体"/>
          <w:i w:val="0"/>
          <w:caps w:val="0"/>
          <w:color w:val="000000"/>
          <w:spacing w:val="0"/>
          <w:sz w:val="24"/>
          <w:szCs w:val="24"/>
        </w:rPr>
      </w:pPr>
      <w:r>
        <w:rPr>
          <w:rStyle w:val="18"/>
          <w:rFonts w:hint="eastAsia" w:ascii="宋体" w:hAnsi="宋体" w:eastAsia="宋体" w:cs="宋体"/>
          <w:i w:val="0"/>
          <w:caps w:val="0"/>
          <w:color w:val="000000"/>
          <w:spacing w:val="0"/>
          <w:sz w:val="24"/>
          <w:szCs w:val="24"/>
          <w:lang w:val="en-US" w:eastAsia="zh-CN"/>
        </w:rPr>
        <w:t>2.1</w:t>
      </w:r>
      <w:r>
        <w:rPr>
          <w:rStyle w:val="18"/>
          <w:rFonts w:hint="eastAsia" w:ascii="宋体" w:hAnsi="宋体" w:eastAsia="宋体" w:cs="宋体"/>
          <w:i w:val="0"/>
          <w:caps w:val="0"/>
          <w:color w:val="000000"/>
          <w:spacing w:val="0"/>
          <w:sz w:val="24"/>
          <w:szCs w:val="24"/>
        </w:rPr>
        <w:t>主要内容</w:t>
      </w:r>
    </w:p>
    <w:tbl>
      <w:tblPr>
        <w:tblStyle w:val="20"/>
        <w:tblW w:w="8488"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930"/>
        <w:gridCol w:w="1645"/>
        <w:gridCol w:w="4108"/>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374" w:hRule="atLeast"/>
        </w:trPr>
        <w:tc>
          <w:tcPr>
            <w:tcW w:w="930"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序号</w:t>
            </w:r>
          </w:p>
        </w:tc>
        <w:tc>
          <w:tcPr>
            <w:tcW w:w="164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系统</w:t>
            </w:r>
          </w:p>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名称</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保养范围</w:t>
            </w:r>
          </w:p>
        </w:tc>
        <w:tc>
          <w:tcPr>
            <w:tcW w:w="180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保养</w:t>
            </w:r>
          </w:p>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Style w:val="18"/>
                <w:rFonts w:hint="eastAsia" w:ascii="宋体" w:hAnsi="宋体" w:eastAsia="宋体" w:cs="宋体"/>
                <w:i w:val="0"/>
                <w:caps w:val="0"/>
                <w:color w:val="000000"/>
                <w:spacing w:val="0"/>
                <w:sz w:val="24"/>
                <w:szCs w:val="24"/>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装饰系统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1）调平天花、地板,检查并维修启角或开裂部位等</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2）地板调平、闭门器、地弹簧加润滑油等的使用情况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3）防火玻璃、钢化玻璃、地角线等密闭情况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4）检查并维修强、弱电插座面板是否松动或断开连接等</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电气系统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1）市电配电箱、UPS配电柜的运行情况</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2）三项平衡检测及调整</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3）主要线缆过流过载情况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4）电压表、电流表、电渡表、ATS或STS系统的使用情况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5）照明灯管的保养和维修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6）市电插座、UPS插座的线路整理或调整</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综合布线系统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1）光纤、网线的连接速率测试报告</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2）水晶头、配线架及跳线的使用状态</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3）110配架线、鸭嘴跳线连接</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4）机房网络机柜理线2次/年</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5）检查各数据及语音面板的连接状态</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新风系统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1）新风机空气过滤器清洗</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2）铝合金防雨百叶风口清洗</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3）铝合金百叶风口清洗</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4）防火阀的使用状态</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环境监控系统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1）感烟、感湿探头测试</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2）报警主机的测试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3）短信发射器的使用情况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4）漏水检测绳的测试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5）视视监控主机的调试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6）摄像机的画面调整等</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门禁系统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1）故障检测与调试</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2）读卡器、电插锁，控制面板的设置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3）控制软件的调试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4）各级权限的设置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7</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防雷系统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1）机房内各级防雷保护状态的检查</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2）静电地网，逻辑地网的设 计及连接情况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3）等电位均压带的连接检测</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4）包含2000元/年的材料更换或维修费用，过期不延。</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8</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KVM系统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1）提取被保修设备的主要性能指标图表，并对其进行可用性评估。</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2）全面检查被保修设备的日志，分析异常情况，提出处理建议。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3）对比设备的实际功能，分析设备使用的合理性，</w:t>
            </w:r>
          </w:p>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提出设备合理使用、软件功能优化的建议。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4）评估被保修设备运行过程中可能存在的风险，提出整改建议。</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9</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UPS系统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1）检测整个系统的运行参数，确保设备正常运行。</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检查各主要部件的装配及内部间的连接情况。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检查所有螺丝、螺栓等连接点的紧固性及热腐蚀状况并做必要的调整。</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检查是否有损坏及烧毁的元件及电缆。</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定期对电池进行充放电测试。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检测电池组／柜的完整性。</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7</w:t>
            </w:r>
            <w:r>
              <w:rPr>
                <w:rFonts w:hint="eastAsia" w:ascii="宋体" w:hAnsi="宋体" w:eastAsia="宋体" w:cs="宋体"/>
                <w:i w:val="0"/>
                <w:caps w:val="0"/>
                <w:color w:val="000000"/>
                <w:spacing w:val="0"/>
                <w:sz w:val="24"/>
                <w:szCs w:val="24"/>
                <w:lang w:val="en-US" w:eastAsia="zh-CN"/>
              </w:rPr>
              <w:t>）</w:t>
            </w:r>
            <w:r>
              <w:rPr>
                <w:rFonts w:hint="eastAsia" w:ascii="宋体" w:hAnsi="宋体" w:eastAsia="宋体" w:cs="宋体"/>
                <w:i w:val="0"/>
                <w:caps w:val="0"/>
                <w:color w:val="000000"/>
                <w:spacing w:val="0"/>
                <w:sz w:val="24"/>
                <w:szCs w:val="24"/>
              </w:rPr>
              <w:t>测量设备的输入、输出电压及电流。</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8</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检测UPS的同步及输出频率的稳定性。</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9</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对并机系统，检查每个UPS之间的负载均衡情况。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10</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必要时调校UPS的一些基准点。</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后备电池组的检测还包括：</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A、外观是否有损坏、变形及漏液。</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B、电池线及接线端子是否有过热及腐蚀情况。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C、各电池组或箱内是否有松脱。</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D、测量每块电池的浮充电压。</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E、在电池电极上重新涂上油脂，预防腐蚀。</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向用户提交所有服务报告及测试记录。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向用户汇报任何异常情况，并提出解决方案。</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10</w:t>
            </w:r>
          </w:p>
        </w:tc>
        <w:tc>
          <w:tcPr>
            <w:tcW w:w="164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空调系统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1）测量压缩机吸气及排气压力</w:t>
            </w:r>
          </w:p>
        </w:tc>
        <w:tc>
          <w:tcPr>
            <w:tcW w:w="1805" w:type="dxa"/>
            <w:vMerge w:val="restart"/>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2）检查压缩机冷冻油油位是否合适</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3）检查压缩机回气过热度</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4）检查压缩机工作电流是否在正常范围内</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5）检查制冷剂是否足够</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6）检查液管视镜情况，看制冷剂是否正常</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7）调整室外冷凝器过冷度</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8）检查室外冷凝器调速器工作情况，调整工作点</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9）校准室外冷凝器温度开关</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10)测量室内、外风机工作电流</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11)检查室内、外风机轴承工作状况</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12)察看空气滤网洁净度,视清洁程度在适当时候更换空气滤网</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13)测试主控板输出功能</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14)向用户提交所有服务报告及测试记录。</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164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15)向用户汇报任何异常情况，并提出解决方案。</w:t>
            </w:r>
          </w:p>
        </w:tc>
        <w:tc>
          <w:tcPr>
            <w:tcW w:w="1805" w:type="dxa"/>
            <w:vMerge w:val="continue"/>
            <w:shd w:val="clear" w:color="auto" w:fill="auto"/>
            <w:tcMar>
              <w:top w:w="0" w:type="dxa"/>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i w:val="0"/>
                <w:caps w:val="0"/>
                <w:color w:val="000000"/>
                <w:spacing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11</w:t>
            </w:r>
          </w:p>
        </w:tc>
        <w:tc>
          <w:tcPr>
            <w:tcW w:w="164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消防系统</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检查设备的运转情况，确保机房消防设施工作正常，各表计数、指针均在正常范围。</w:t>
            </w:r>
          </w:p>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日常配合机房管理人员做好消防防范及消防应急演练工作。</w:t>
            </w:r>
          </w:p>
        </w:tc>
        <w:tc>
          <w:tcPr>
            <w:tcW w:w="180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p>
            <w:pPr>
              <w:pStyle w:val="16"/>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2次/年</w:t>
            </w:r>
          </w:p>
          <w:p>
            <w:pPr>
              <w:pStyle w:val="16"/>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Ex>
        <w:trPr>
          <w:trHeight w:val="374" w:hRule="atLeast"/>
        </w:trPr>
        <w:tc>
          <w:tcPr>
            <w:tcW w:w="930"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12</w:t>
            </w:r>
          </w:p>
        </w:tc>
        <w:tc>
          <w:tcPr>
            <w:tcW w:w="164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环境</w:t>
            </w:r>
          </w:p>
        </w:tc>
        <w:tc>
          <w:tcPr>
            <w:tcW w:w="4108"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机房卫生</w:t>
            </w:r>
          </w:p>
        </w:tc>
        <w:tc>
          <w:tcPr>
            <w:tcW w:w="1805" w:type="dxa"/>
            <w:shd w:val="clear" w:color="auto" w:fill="auto"/>
            <w:tcMar>
              <w:top w:w="0" w:type="dxa"/>
              <w:left w:w="105" w:type="dxa"/>
              <w:bottom w:w="0" w:type="dxa"/>
              <w:right w:w="105" w:type="dxa"/>
            </w:tcMar>
            <w:vAlign w:val="center"/>
          </w:tcPr>
          <w:p>
            <w:pPr>
              <w:pStyle w:val="16"/>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1次/半个月</w:t>
            </w:r>
          </w:p>
        </w:tc>
      </w:tr>
    </w:tbl>
    <w:p>
      <w:pPr>
        <w:pStyle w:val="16"/>
        <w:keepNext w:val="0"/>
        <w:keepLines w:val="0"/>
        <w:widowControl/>
        <w:suppressLineNumbers w:val="0"/>
        <w:spacing w:before="0" w:beforeAutospacing="0" w:after="90" w:afterAutospacing="0"/>
        <w:ind w:left="0" w:firstLine="90"/>
        <w:outlineLvl w:val="1"/>
        <w:rPr>
          <w:rStyle w:val="18"/>
          <w:rFonts w:hint="eastAsia" w:ascii="宋体" w:hAnsi="宋体" w:eastAsia="宋体" w:cs="宋体"/>
          <w:i w:val="0"/>
          <w:caps w:val="0"/>
          <w:color w:val="000000"/>
          <w:spacing w:val="0"/>
          <w:sz w:val="24"/>
          <w:szCs w:val="24"/>
          <w:lang w:val="en-US" w:eastAsia="zh-CN"/>
        </w:rPr>
      </w:pPr>
      <w:r>
        <w:rPr>
          <w:rStyle w:val="18"/>
          <w:rFonts w:hint="eastAsia" w:ascii="宋体" w:hAnsi="宋体" w:eastAsia="宋体" w:cs="宋体"/>
          <w:i w:val="0"/>
          <w:caps w:val="0"/>
          <w:color w:val="000000"/>
          <w:spacing w:val="0"/>
          <w:sz w:val="24"/>
          <w:szCs w:val="24"/>
          <w:lang w:val="en-US" w:eastAsia="zh-CN"/>
        </w:rPr>
        <w:t>2.2备品备件表</w:t>
      </w:r>
    </w:p>
    <w:tbl>
      <w:tblPr>
        <w:tblStyle w:val="20"/>
        <w:tblW w:w="845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
      <w:tblGrid>
        <w:gridCol w:w="917"/>
        <w:gridCol w:w="1670"/>
        <w:gridCol w:w="4058"/>
        <w:gridCol w:w="97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49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i w:val="0"/>
                <w:caps w:val="0"/>
                <w:color w:val="000000"/>
                <w:spacing w:val="0"/>
                <w:sz w:val="24"/>
                <w:szCs w:val="24"/>
              </w:rPr>
              <w:t>序号</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i w:val="0"/>
                <w:caps w:val="0"/>
                <w:color w:val="000000"/>
                <w:spacing w:val="0"/>
                <w:sz w:val="24"/>
                <w:szCs w:val="24"/>
              </w:rPr>
              <w:t>项目名称</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i w:val="0"/>
                <w:caps w:val="0"/>
                <w:color w:val="000000"/>
                <w:spacing w:val="0"/>
                <w:sz w:val="24"/>
                <w:szCs w:val="24"/>
              </w:rPr>
              <w:t>规格</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i w:val="0"/>
                <w:caps w:val="0"/>
                <w:color w:val="000000"/>
                <w:spacing w:val="0"/>
                <w:sz w:val="24"/>
                <w:szCs w:val="24"/>
              </w:rPr>
              <w:t>单位</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b/>
                <w:bCs/>
                <w:sz w:val="24"/>
                <w:szCs w:val="24"/>
              </w:rPr>
            </w:pPr>
            <w:r>
              <w:rPr>
                <w:rFonts w:hint="eastAsia" w:ascii="宋体" w:hAnsi="宋体" w:eastAsia="宋体" w:cs="宋体"/>
                <w:b/>
                <w:bCs/>
                <w:i w:val="0"/>
                <w:caps w:val="0"/>
                <w:color w:val="000000"/>
                <w:spacing w:val="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90"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六类非屏蔽信息点单孔插座(含面板)</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按实际需求配置</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个</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343"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六类非屏蔽信息点双孔插座(含面板)</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按实际需求配置</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个</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558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六类非屏蔽双绞线</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在Cat.6系统应用中，提供至少250MHz的信道带宽。</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骨芯结构：十字龙骨芯，提供更稳定的性能及线缆支撑。</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线芯规格：导体直径符合23AWG要求，其中导体直径不小于0.55mm。</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绝缘材料：高密度聚乙烯HDPE，厚度0.2mm。</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lang w:eastAsia="zh-CN"/>
              </w:rPr>
            </w:pPr>
            <w:r>
              <w:rPr>
                <w:rFonts w:hint="eastAsia" w:ascii="宋体" w:hAnsi="宋体" w:eastAsia="宋体" w:cs="宋体"/>
                <w:i w:val="0"/>
                <w:caps w:val="0"/>
                <w:color w:val="000000"/>
                <w:spacing w:val="0"/>
                <w:sz w:val="24"/>
                <w:szCs w:val="24"/>
              </w:rPr>
              <w:t>5</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护套材料：提供PVC</w:t>
            </w:r>
            <w:r>
              <w:rPr>
                <w:rFonts w:hint="eastAsia" w:ascii="宋体" w:hAnsi="宋体" w:eastAsia="宋体" w:cs="宋体"/>
                <w:i w:val="0"/>
                <w:caps w:val="0"/>
                <w:color w:val="000000"/>
                <w:spacing w:val="0"/>
                <w:sz w:val="24"/>
                <w:szCs w:val="24"/>
                <w:lang w:eastAsia="zh-CN"/>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最大承受拉力：11.34Kg。 </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最大直流电阻：≤9.5Ω/100m。</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安装温度：0至 +50℃，工作温度：-20至+60℃。</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9</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其中传输性能中最大传输时延（f=10MHz）＜510ns</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rPr>
              <w:t>同缆中线对间最大时延差＜23ns。 </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箱</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49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4</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六类非屏蔽跳线</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jc w:val="left"/>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3m</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条</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49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5</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环控升级软件</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平台能支持日调度（以日为单位进行轮巡定时控制），周调度（以周为单位进行轮巡定时控制），定时轮巡（设定时间间隔为单位进行轮巡定时控制）</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套</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187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6</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半球探头（高清）</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1）采用≥1/2.8″逐行扫描500万像素图像传感器，水平解像力≥1800线，焦距2.1mm；</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2）摄像机提供≥1路RJ45网络接口，≥1路RS485接口，≥1路BNC接口，≥2路告警输入，≥1路告警输出，≥2路音频输入，≥1路音频输出，支持内置拾音器，DC12V或POE供电。</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3）最低照度：彩色≤0.005lx、黑白≤0.0005lx；</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4）设备支持五码流，主码流：2592×1944、30fps；第二码流：1920×1080、20fps；第三码流：720×576、10fps；第四码流：1920×1080、20fps；第五码流：720×576、10fps。</w:t>
            </w:r>
            <w:r>
              <w:rPr>
                <w:rFonts w:hint="eastAsia" w:ascii="宋体" w:hAnsi="宋体" w:eastAsia="宋体" w:cs="宋体"/>
                <w:b/>
                <w:bCs/>
                <w:i w:val="0"/>
                <w:caps w:val="0"/>
                <w:color w:val="000000"/>
                <w:spacing w:val="0"/>
                <w:sz w:val="24"/>
                <w:szCs w:val="24"/>
              </w:rPr>
              <w:t>（投标人须提供国家认可的检测机构出具的检测报告佐证本项要求，并加盖公章，原件备查。）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5）支持前端存储，最大支持400GB TF卡。</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支持网关ARP绑定功能：设备支持通过IE浏览器添加并绑定设备所在网段网关的MAC地址，当其他终端设备访问该设备时，若使用正确网关MAC地址时，则可以正常访问设备，若使用错误网关MAC地址，则不能访问设备。</w:t>
            </w:r>
            <w:r>
              <w:rPr>
                <w:rFonts w:hint="eastAsia" w:ascii="宋体" w:hAnsi="宋体" w:eastAsia="宋体" w:cs="宋体"/>
                <w:b/>
                <w:bCs/>
                <w:i w:val="0"/>
                <w:caps w:val="0"/>
                <w:color w:val="000000"/>
                <w:spacing w:val="0"/>
                <w:sz w:val="24"/>
                <w:szCs w:val="24"/>
              </w:rPr>
              <w:t>（投标人须提供国家认可的检测机构出具的检测报告佐证本项要求，并加盖公章，原件备查。）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7）亮度鉴别等级≥11级，亮度信号信噪比≥58dB。</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8）具有前端畸变矫正功能。</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9）支持宽动态、支持走廊模式、支持透雾、支持图像镜像、支持逆光补偿。</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10）支持H.265、H.264、MJPEG编码协议。</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11）支持OSD显示功能：叠加的OSD可以在屏幕中滚动显示，可以在视频图像叠加图片。</w:t>
            </w:r>
            <w:r>
              <w:rPr>
                <w:rFonts w:hint="eastAsia" w:ascii="宋体" w:hAnsi="宋体" w:eastAsia="宋体" w:cs="宋体"/>
                <w:b/>
                <w:bCs/>
                <w:i w:val="0"/>
                <w:caps w:val="0"/>
                <w:color w:val="000000"/>
                <w:spacing w:val="0"/>
                <w:sz w:val="24"/>
                <w:szCs w:val="24"/>
              </w:rPr>
              <w:t>（投标人须提供国家认可的检测机构出具的检测报告佐证本项要求，并加盖公章，原件备查。）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12）支持宽动态自动切换功能：具有手动/自动宽动态切换选项；在宽动态模式下，随环境亮度变化，可自动在宽动态关闭和开启间进行切换。</w:t>
            </w:r>
            <w:r>
              <w:rPr>
                <w:rFonts w:hint="eastAsia" w:ascii="宋体" w:hAnsi="宋体" w:eastAsia="宋体" w:cs="宋体"/>
                <w:b/>
                <w:bCs/>
                <w:i w:val="0"/>
                <w:caps w:val="0"/>
                <w:color w:val="000000"/>
                <w:spacing w:val="0"/>
                <w:sz w:val="24"/>
                <w:szCs w:val="24"/>
              </w:rPr>
              <w:t>（投标人须提供国家认可的检测机构出具的检测报告佐证本项要求，并加盖公章，原件备查。）</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13)设备支持DC12V±35%内变化可正常工作；≥IP67防护等级，≥IK10机械防撞等级；</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台</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7" w:type="dxa"/>
            <w:left w:w="17" w:type="dxa"/>
            <w:bottom w:w="17" w:type="dxa"/>
            <w:right w:w="17" w:type="dxa"/>
          </w:tblCellMar>
        </w:tblPrEx>
        <w:trPr>
          <w:trHeight w:val="1065" w:hRule="atLeast"/>
        </w:trPr>
        <w:tc>
          <w:tcPr>
            <w:tcW w:w="917"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7</w:t>
            </w:r>
          </w:p>
        </w:tc>
        <w:tc>
          <w:tcPr>
            <w:tcW w:w="16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智能电源管理终端</w:t>
            </w:r>
          </w:p>
        </w:tc>
        <w:tc>
          <w:tcPr>
            <w:tcW w:w="4058"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1)具备≥5个100M/1000M自适应以太网接口、1个1000M光口、4个继电器接线端子，且上述接口全部具有运行指示灯。</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2)交换容量≥12Gbps、包转发率≥9Mpps。</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3)具备静态MAC地址管理功能，MAC地址容量≥2K。</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4）可在WEB页面进行网络端口速率、端口模式、端口开关、端口优先级、端口流量控制、端口隔离、风暴抑制、端口镜像、端口报文统计、端口限速等配置操作。</w:t>
            </w:r>
            <w:r>
              <w:rPr>
                <w:rFonts w:hint="eastAsia" w:ascii="宋体" w:hAnsi="宋体" w:eastAsia="宋体" w:cs="宋体"/>
                <w:b/>
                <w:bCs/>
                <w:i w:val="0"/>
                <w:caps w:val="0"/>
                <w:color w:val="000000"/>
                <w:spacing w:val="0"/>
                <w:sz w:val="24"/>
                <w:szCs w:val="24"/>
              </w:rPr>
              <w:t>（投标人须提供国家认可的检测机构出具的检测报告佐证本项要求，加盖公章，原件备查。）</w:t>
            </w:r>
            <w:r>
              <w:rPr>
                <w:rFonts w:hint="eastAsia" w:ascii="宋体" w:hAnsi="宋体" w:eastAsia="宋体" w:cs="宋体"/>
                <w:i w:val="0"/>
                <w:caps w:val="0"/>
                <w:color w:val="000000"/>
                <w:spacing w:val="0"/>
                <w:sz w:val="24"/>
                <w:szCs w:val="24"/>
              </w:rPr>
              <w:t>可在WEB页面进行VLAN划分、Hybird端口、QoS、ACL配置操作。</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5）具备电源管理功能，可对接入设备进行断电及重启操作，可对端口流量是否中断进行自动检测和显示并进行重启操作。</w:t>
            </w:r>
            <w:r>
              <w:rPr>
                <w:rFonts w:hint="eastAsia" w:ascii="宋体" w:hAnsi="宋体" w:eastAsia="宋体" w:cs="宋体"/>
                <w:b/>
                <w:bCs/>
                <w:i w:val="0"/>
                <w:caps w:val="0"/>
                <w:color w:val="000000"/>
                <w:spacing w:val="0"/>
                <w:sz w:val="24"/>
                <w:szCs w:val="24"/>
              </w:rPr>
              <w:t>（需提供国家认可的检测机构出具的检测报告复印件并加盖投标人公章做为依据，原件备查。）</w:t>
            </w:r>
            <w:r>
              <w:rPr>
                <w:rFonts w:hint="eastAsia" w:ascii="宋体" w:hAnsi="宋体" w:eastAsia="宋体" w:cs="宋体"/>
                <w:i w:val="0"/>
                <w:caps w:val="0"/>
                <w:color w:val="000000"/>
                <w:spacing w:val="0"/>
                <w:sz w:val="24"/>
                <w:szCs w:val="24"/>
              </w:rPr>
              <w:t>设备应具备接入设备网口和继电器接口自动匹配功能。</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105" w:leftChars="50"/>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6）宽压设计，满足AC90～264V范围内正常工作。</w:t>
            </w:r>
            <w:r>
              <w:rPr>
                <w:rFonts w:hint="eastAsia" w:ascii="宋体" w:hAnsi="宋体" w:eastAsia="宋体" w:cs="宋体"/>
                <w:b/>
                <w:bCs/>
                <w:i w:val="0"/>
                <w:caps w:val="0"/>
                <w:color w:val="000000"/>
                <w:spacing w:val="0"/>
                <w:sz w:val="24"/>
                <w:szCs w:val="24"/>
              </w:rPr>
              <w:t>（投标人须提供国家认可的检测机构出具的检测报告佐证本项要求，加盖公章，原件备查。）</w:t>
            </w:r>
          </w:p>
        </w:tc>
        <w:tc>
          <w:tcPr>
            <w:tcW w:w="970"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台</w:t>
            </w:r>
          </w:p>
        </w:tc>
        <w:tc>
          <w:tcPr>
            <w:tcW w:w="842" w:type="dxa"/>
            <w:shd w:val="clear" w:color="auto" w:fill="FFFFFF"/>
            <w:vAlign w:val="center"/>
          </w:tcPr>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jc w:val="center"/>
              <w:textAlignment w:val="auto"/>
              <w:rPr>
                <w:rFonts w:hint="eastAsia" w:ascii="宋体" w:hAnsi="宋体" w:eastAsia="宋体" w:cs="宋体"/>
                <w:sz w:val="24"/>
                <w:szCs w:val="24"/>
              </w:rPr>
            </w:pPr>
            <w:r>
              <w:rPr>
                <w:rFonts w:hint="eastAsia" w:ascii="宋体" w:hAnsi="宋体" w:eastAsia="宋体" w:cs="宋体"/>
                <w:i w:val="0"/>
                <w:caps w:val="0"/>
                <w:color w:val="000000"/>
                <w:spacing w:val="0"/>
                <w:sz w:val="24"/>
                <w:szCs w:val="24"/>
              </w:rPr>
              <w:t>1</w:t>
            </w:r>
          </w:p>
        </w:tc>
      </w:tr>
    </w:tbl>
    <w:p>
      <w:pPr>
        <w:pStyle w:val="16"/>
        <w:keepNext w:val="0"/>
        <w:keepLines w:val="0"/>
        <w:widowControl/>
        <w:suppressLineNumbers w:val="0"/>
        <w:spacing w:before="105" w:beforeAutospacing="0" w:after="90" w:afterAutospacing="0" w:line="360" w:lineRule="auto"/>
        <w:ind w:left="0" w:firstLine="150"/>
        <w:rPr>
          <w:rFonts w:hint="eastAsia" w:ascii="宋体" w:hAnsi="宋体" w:eastAsia="宋体" w:cs="宋体"/>
          <w:i w:val="0"/>
          <w:caps w:val="0"/>
          <w:color w:val="000000"/>
          <w:spacing w:val="0"/>
          <w:sz w:val="24"/>
          <w:szCs w:val="24"/>
        </w:rPr>
      </w:pPr>
      <w:r>
        <w:rPr>
          <w:rStyle w:val="18"/>
          <w:rFonts w:hint="eastAsia" w:ascii="宋体" w:hAnsi="宋体" w:eastAsia="宋体" w:cs="宋体"/>
          <w:i w:val="0"/>
          <w:caps w:val="0"/>
          <w:color w:val="000000"/>
          <w:spacing w:val="0"/>
          <w:sz w:val="24"/>
          <w:szCs w:val="24"/>
        </w:rPr>
        <w:t>注：以上技术和服务要求如有未标注偏离范围的重量、尺寸、体积等数值指标允许±1%偏离。</w:t>
      </w:r>
    </w:p>
    <w:p>
      <w:pPr>
        <w:pStyle w:val="16"/>
        <w:keepNext w:val="0"/>
        <w:keepLines w:val="0"/>
        <w:widowControl/>
        <w:suppressLineNumbers w:val="0"/>
        <w:spacing w:before="0" w:beforeAutospacing="0" w:after="90" w:afterAutospacing="0" w:line="360" w:lineRule="auto"/>
        <w:ind w:left="0" w:firstLine="90"/>
        <w:outlineLvl w:val="1"/>
        <w:rPr>
          <w:rStyle w:val="18"/>
          <w:rFonts w:hint="eastAsia" w:ascii="宋体" w:hAnsi="宋体" w:eastAsia="宋体" w:cs="宋体"/>
          <w:i w:val="0"/>
          <w:caps w:val="0"/>
          <w:color w:val="000000"/>
          <w:spacing w:val="0"/>
          <w:sz w:val="24"/>
          <w:szCs w:val="24"/>
          <w:lang w:val="en-US" w:eastAsia="zh-CN"/>
        </w:rPr>
      </w:pPr>
      <w:r>
        <w:rPr>
          <w:rStyle w:val="18"/>
          <w:rFonts w:hint="eastAsia" w:ascii="宋体" w:hAnsi="宋体" w:eastAsia="宋体" w:cs="宋体"/>
          <w:i w:val="0"/>
          <w:caps w:val="0"/>
          <w:color w:val="000000"/>
          <w:spacing w:val="0"/>
          <w:sz w:val="24"/>
          <w:szCs w:val="24"/>
          <w:lang w:val="en-US" w:eastAsia="zh-CN"/>
        </w:rPr>
        <w:t>2.3备品备件其他要求：</w:t>
      </w:r>
    </w:p>
    <w:p>
      <w:pPr>
        <w:pStyle w:val="16"/>
        <w:keepNext w:val="0"/>
        <w:keepLines w:val="0"/>
        <w:ind w:firstLine="480" w:firstLineChars="200"/>
        <w:rPr>
          <w:rFonts w:hint="eastAsia" w:ascii="宋体" w:hAnsi="宋体" w:eastAsia="宋体" w:cs="宋体"/>
          <w:b/>
          <w:bCs w:val="0"/>
          <w:color w:val="auto"/>
          <w:sz w:val="24"/>
          <w:szCs w:val="24"/>
          <w:lang w:eastAsia="zh-CN"/>
        </w:rPr>
      </w:pPr>
      <w:r>
        <w:rPr>
          <w:rStyle w:val="18"/>
          <w:rFonts w:hint="eastAsia" w:ascii="宋体" w:hAnsi="宋体" w:eastAsia="宋体" w:cs="宋体"/>
          <w:b w:val="0"/>
          <w:bCs/>
          <w:i w:val="0"/>
          <w:caps w:val="0"/>
          <w:color w:val="auto"/>
          <w:spacing w:val="0"/>
          <w:sz w:val="24"/>
          <w:szCs w:val="24"/>
        </w:rPr>
        <w:t>为保障机房电源核心部件的正常维修保养，要求本项目维保服务单位必须建立UPS设备原厂的售后技术支持服务渠道。</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2" w:firstLineChars="200"/>
        <w:outlineLvl w:val="2"/>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五</w:t>
      </w:r>
      <w:r>
        <w:rPr>
          <w:rFonts w:hint="eastAsia" w:ascii="宋体" w:hAnsi="宋体" w:eastAsia="宋体" w:cs="宋体"/>
          <w:b/>
          <w:bCs w:val="0"/>
          <w:color w:val="auto"/>
          <w:sz w:val="24"/>
          <w:szCs w:val="24"/>
          <w:lang w:eastAsia="zh-CN"/>
        </w:rPr>
        <w:t>）计划方案</w:t>
      </w:r>
    </w:p>
    <w:p>
      <w:pPr>
        <w:pStyle w:val="24"/>
        <w:keepNext/>
        <w:keepLines/>
        <w:pageBreakBefore w:val="0"/>
        <w:numPr>
          <w:ilvl w:val="2"/>
          <w:numId w:val="0"/>
        </w:numPr>
        <w:tabs>
          <w:tab w:val="left" w:pos="-900"/>
          <w:tab w:val="left" w:pos="0"/>
          <w:tab w:val="left" w:pos="943"/>
          <w:tab w:val="left" w:pos="2645"/>
        </w:tabs>
        <w:kinsoku/>
        <w:wordWrap/>
        <w:overflowPunct/>
        <w:topLinePunct w:val="0"/>
        <w:bidi w:val="0"/>
        <w:adjustRightInd/>
        <w:snapToGrid/>
        <w:spacing w:before="0" w:beforeAutospacing="0" w:after="0" w:afterAutospacing="0" w:line="360" w:lineRule="auto"/>
        <w:ind w:leftChars="0" w:firstLine="480" w:firstLineChars="200"/>
        <w:outlineLvl w:val="9"/>
        <w:rPr>
          <w:rFonts w:hint="eastAsia" w:ascii="宋体" w:hAnsi="宋体" w:eastAsia="宋体" w:cs="宋体"/>
          <w:color w:val="auto"/>
          <w:sz w:val="24"/>
          <w:szCs w:val="24"/>
        </w:rPr>
      </w:pPr>
      <w:r>
        <w:rPr>
          <w:rFonts w:hint="eastAsia" w:ascii="宋体" w:hAnsi="宋体" w:eastAsia="宋体" w:cs="宋体"/>
          <w:b w:val="0"/>
          <w:bCs/>
          <w:color w:val="auto"/>
          <w:sz w:val="24"/>
          <w:szCs w:val="24"/>
          <w:lang w:eastAsia="zh-CN"/>
        </w:rPr>
        <w:t>在合同签订后10日内，</w:t>
      </w:r>
      <w:r>
        <w:rPr>
          <w:rFonts w:hint="eastAsia" w:ascii="宋体" w:hAnsi="宋体" w:eastAsia="宋体" w:cs="宋体"/>
          <w:b w:val="0"/>
          <w:bCs/>
          <w:color w:val="auto"/>
          <w:sz w:val="24"/>
          <w:szCs w:val="24"/>
          <w:lang w:val="en-US" w:eastAsia="zh-CN"/>
        </w:rPr>
        <w:t>中标人</w:t>
      </w:r>
      <w:r>
        <w:rPr>
          <w:rFonts w:hint="eastAsia" w:ascii="宋体" w:hAnsi="宋体" w:eastAsia="宋体" w:cs="宋体"/>
          <w:b w:val="0"/>
          <w:bCs/>
          <w:color w:val="auto"/>
          <w:sz w:val="24"/>
          <w:szCs w:val="24"/>
          <w:lang w:eastAsia="zh-CN"/>
        </w:rPr>
        <w:t>须向采购人书面提交实施计划和运维方案。实施计划和运维方案必须针</w:t>
      </w:r>
      <w:r>
        <w:rPr>
          <w:rFonts w:hint="eastAsia" w:ascii="宋体" w:hAnsi="宋体" w:eastAsia="宋体" w:cs="宋体"/>
          <w:i w:val="0"/>
          <w:caps w:val="0"/>
          <w:color w:val="auto"/>
          <w:spacing w:val="0"/>
          <w:sz w:val="24"/>
          <w:szCs w:val="24"/>
        </w:rPr>
        <w:t>对运维服务的重点难点进行分析，密切贴合日常维护需求，其中至少包括运维项目内容、重点难点、详细指标、实施周期、服务团队人员等内容，并提供巡检记录、故障记录等相应配套的表单，否则视为无法履行本次合同，采购人有权单方面解除合同并要求</w:t>
      </w:r>
      <w:r>
        <w:rPr>
          <w:rFonts w:hint="eastAsia" w:ascii="宋体" w:hAnsi="宋体" w:eastAsia="宋体" w:cs="宋体"/>
          <w:i w:val="0"/>
          <w:caps w:val="0"/>
          <w:color w:val="auto"/>
          <w:spacing w:val="0"/>
          <w:sz w:val="24"/>
          <w:szCs w:val="24"/>
          <w:lang w:val="en-US" w:eastAsia="zh-CN"/>
        </w:rPr>
        <w:t>中标人</w:t>
      </w:r>
      <w:r>
        <w:rPr>
          <w:rFonts w:hint="eastAsia" w:ascii="宋体" w:hAnsi="宋体" w:eastAsia="宋体" w:cs="宋体"/>
          <w:i w:val="0"/>
          <w:caps w:val="0"/>
          <w:color w:val="auto"/>
          <w:spacing w:val="0"/>
          <w:sz w:val="24"/>
          <w:szCs w:val="24"/>
        </w:rPr>
        <w:t>支付违约金及追究相应的法律责任。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bidi w:val="0"/>
        <w:spacing w:before="0" w:beforeAutospacing="0" w:after="0" w:afterAutospacing="0" w:line="360" w:lineRule="auto"/>
        <w:ind w:left="0" w:right="0" w:firstLine="0"/>
        <w:jc w:val="both"/>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三、商务要求（以“★”标示的内容为不允许负偏离的实质性要求）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bidi w:val="0"/>
        <w:spacing w:before="0" w:beforeAutospacing="0" w:after="0" w:afterAutospacing="0" w:line="360" w:lineRule="auto"/>
        <w:ind w:left="0" w:right="0" w:firstLine="420"/>
        <w:jc w:val="left"/>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采购包1：</w:t>
      </w:r>
    </w:p>
    <w:tbl>
      <w:tblPr>
        <w:tblStyle w:val="20"/>
        <w:tblW w:w="953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53"/>
        <w:gridCol w:w="954"/>
        <w:gridCol w:w="1431"/>
        <w:gridCol w:w="62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序号</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参数性质</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类型</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交货时间</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网络设备及终端维保及运维服务</w:t>
            </w:r>
            <w:r>
              <w:rPr>
                <w:rFonts w:hint="eastAsia" w:ascii="宋体" w:hAnsi="宋体" w:eastAsia="宋体" w:cs="宋体"/>
                <w:color w:val="auto"/>
                <w:sz w:val="24"/>
                <w:szCs w:val="24"/>
                <w:lang w:eastAsia="zh-CN"/>
              </w:rPr>
              <w:t>、全省视频会议系统维保及运维服务、五四路办公区机房维保及运维服务</w:t>
            </w:r>
            <w:r>
              <w:rPr>
                <w:rFonts w:hint="eastAsia" w:ascii="宋体" w:hAnsi="宋体" w:eastAsia="宋体" w:cs="宋体"/>
                <w:color w:val="auto"/>
                <w:sz w:val="24"/>
                <w:szCs w:val="24"/>
                <w:lang w:val="en-US" w:eastAsia="zh-CN"/>
              </w:rPr>
              <w:t>三项，</w:t>
            </w:r>
            <w:r>
              <w:rPr>
                <w:rFonts w:hint="eastAsia" w:ascii="宋体" w:hAnsi="宋体" w:cs="宋体"/>
                <w:b w:val="0"/>
                <w:bCs/>
                <w:sz w:val="24"/>
                <w:szCs w:val="24"/>
                <w:shd w:val="clear" w:fill="FFFFFF"/>
                <w:lang w:val="en-US" w:eastAsia="zh-CN"/>
              </w:rPr>
              <w:t>按甲方指定的日期开始，提供13个月的服务；华林路办公区机房维保及运维服务，按甲方指定的日期开始，提供9个月的服务</w:t>
            </w:r>
            <w:r>
              <w:rPr>
                <w:rFonts w:hint="eastAsia" w:ascii="宋体" w:hAnsi="宋体" w:eastAsia="宋体" w:cs="宋体"/>
                <w:b w:val="0"/>
                <w:bCs/>
                <w:sz w:val="24"/>
                <w:szCs w:val="24"/>
                <w:shd w:val="clear" w:fill="FFFFFF"/>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交货地点</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sz w:val="24"/>
                <w:szCs w:val="24"/>
              </w:rPr>
              <w:t>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交货条件</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根据招标文件要求履约并通过考核验收。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是否邀请投标人验收</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履约验收方式</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bidi w:val="0"/>
              <w:spacing w:before="0" w:beforeAutospacing="0" w:after="0" w:afterAutospacing="0" w:line="360" w:lineRule="auto"/>
              <w:ind w:left="0" w:right="0" w:firstLine="0"/>
              <w:rPr>
                <w:rFonts w:hint="eastAsia" w:ascii="宋体" w:hAnsi="宋体" w:eastAsia="宋体" w:cs="宋体"/>
                <w:color w:val="auto"/>
                <w:sz w:val="24"/>
                <w:szCs w:val="24"/>
              </w:rPr>
            </w:pPr>
            <w:r>
              <w:rPr>
                <w:rFonts w:hint="eastAsia" w:ascii="宋体" w:hAnsi="宋体" w:eastAsia="宋体" w:cs="宋体"/>
                <w:color w:val="auto"/>
                <w:sz w:val="24"/>
                <w:szCs w:val="24"/>
              </w:rPr>
              <w:t>1、期次1，说明：按照招标文件及合同要求进行验收。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53"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6</w:t>
            </w:r>
          </w:p>
        </w:tc>
        <w:tc>
          <w:tcPr>
            <w:tcW w:w="954"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bidi w:val="0"/>
              <w:spacing w:beforeAutospacing="0" w:afterAutospacing="0" w:line="360" w:lineRule="auto"/>
              <w:ind w:left="0" w:right="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w:t>
            </w:r>
          </w:p>
        </w:tc>
        <w:tc>
          <w:tcPr>
            <w:tcW w:w="143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pacing w:beforeAutospacing="0" w:afterAutospacing="0" w:line="360"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合同支付方式</w:t>
            </w:r>
          </w:p>
        </w:tc>
        <w:tc>
          <w:tcPr>
            <w:tcW w:w="62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60" w:lineRule="auto"/>
              <w:ind w:left="0" w:right="0" w:firstLine="0"/>
              <w:textAlignment w:val="auto"/>
              <w:rPr>
                <w:rFonts w:hint="eastAsia" w:ascii="宋体" w:hAnsi="宋体" w:eastAsia="宋体" w:cs="宋体"/>
                <w:color w:val="auto"/>
                <w:kern w:val="0"/>
                <w:sz w:val="24"/>
                <w:szCs w:val="24"/>
                <w:lang w:bidi="ar"/>
              </w:rPr>
            </w:pPr>
            <w:r>
              <w:rPr>
                <w:rFonts w:hint="eastAsia" w:ascii="宋体" w:hAnsi="宋体" w:eastAsia="宋体" w:cs="宋体"/>
                <w:color w:val="auto"/>
                <w:sz w:val="24"/>
                <w:szCs w:val="24"/>
                <w:lang w:val="en-US" w:eastAsia="zh-CN"/>
              </w:rPr>
              <w:t>1、</w:t>
            </w:r>
            <w:r>
              <w:rPr>
                <w:rFonts w:hint="eastAsia" w:ascii="宋体" w:hAnsi="宋体" w:eastAsia="宋体" w:cs="宋体"/>
                <w:color w:val="auto"/>
                <w:kern w:val="0"/>
                <w:sz w:val="24"/>
                <w:szCs w:val="24"/>
                <w:lang w:bidi="ar"/>
              </w:rPr>
              <w:t>项目合同签订且中标人提供等额发票后，采购人支付给中标人项目费用的50%；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60" w:lineRule="auto"/>
              <w:ind w:left="0" w:right="0" w:firstLine="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sz w:val="24"/>
                <w:szCs w:val="24"/>
              </w:rPr>
              <w:t>项目完成并通过验收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减去每月服务考核扣款</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中标方提供等额发票后，达到付款条件起1</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日，支</w:t>
            </w:r>
            <w:r>
              <w:rPr>
                <w:rFonts w:hint="eastAsia" w:ascii="宋体" w:hAnsi="宋体" w:eastAsia="宋体" w:cs="宋体"/>
                <w:sz w:val="24"/>
                <w:szCs w:val="24"/>
              </w:rPr>
              <w:t>付合同总金额的50.00%</w:t>
            </w:r>
            <w:r>
              <w:rPr>
                <w:rFonts w:hint="eastAsia" w:ascii="宋体" w:hAnsi="宋体" w:eastAsia="宋体" w:cs="宋体"/>
                <w:sz w:val="24"/>
                <w:szCs w:val="24"/>
                <w:lang w:eastAsia="zh-CN"/>
              </w:rPr>
              <w:t>，</w:t>
            </w:r>
            <w:r>
              <w:rPr>
                <w:rFonts w:hint="eastAsia" w:ascii="宋体" w:hAnsi="宋体" w:eastAsia="宋体" w:cs="宋体"/>
                <w:sz w:val="24"/>
                <w:szCs w:val="24"/>
              </w:rPr>
              <w:t>减去每月服务考核扣款</w:t>
            </w:r>
            <w:r>
              <w:rPr>
                <w:rFonts w:hint="eastAsia" w:ascii="宋体" w:hAnsi="宋体" w:eastAsia="宋体" w:cs="宋体"/>
                <w:sz w:val="24"/>
                <w:szCs w:val="24"/>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0" w:beforeAutospacing="0" w:after="0" w:afterAutospacing="0" w:line="360" w:lineRule="auto"/>
              <w:ind w:left="0" w:right="0" w:firstLine="0"/>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特别说明：由于财政拨款等手续问题导致支付延误，乙方不追究甲方责任。</w:t>
            </w:r>
          </w:p>
        </w:tc>
      </w:tr>
    </w:tbl>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rPr>
        <w:t>履约保证金</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rPr>
        <w:t>不缴纳</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其他商务要求</w:t>
      </w:r>
    </w:p>
    <w:p>
      <w:pPr>
        <w:keepNext/>
        <w:keepLines/>
        <w:pageBreakBefore w:val="0"/>
        <w:numPr>
          <w:ilvl w:val="2"/>
          <w:numId w:val="0"/>
        </w:numPr>
        <w:kinsoku/>
        <w:wordWrap/>
        <w:overflowPunct/>
        <w:topLinePunct w:val="0"/>
        <w:bidi w:val="0"/>
        <w:spacing w:before="0" w:beforeAutospacing="0" w:after="0" w:afterAutospacing="0" w:line="360" w:lineRule="auto"/>
        <w:ind w:leftChars="0" w:firstLine="482" w:firstLineChars="200"/>
        <w:outlineLvl w:val="9"/>
        <w:rPr>
          <w:rFonts w:hint="eastAsia" w:ascii="宋体" w:hAnsi="宋体" w:eastAsia="宋体" w:cs="宋体"/>
          <w:b/>
          <w:bCs w:val="0"/>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7、</w:t>
      </w:r>
      <w:r>
        <w:rPr>
          <w:rFonts w:hint="eastAsia" w:ascii="宋体" w:hAnsi="宋体" w:eastAsia="宋体" w:cs="宋体"/>
          <w:b/>
          <w:bCs w:val="0"/>
          <w:i w:val="0"/>
          <w:caps w:val="0"/>
          <w:color w:val="auto"/>
          <w:spacing w:val="0"/>
          <w:sz w:val="24"/>
          <w:szCs w:val="24"/>
          <w:lang w:val="en-US" w:eastAsia="zh-CN"/>
        </w:rPr>
        <w:t>每月</w:t>
      </w:r>
      <w:r>
        <w:rPr>
          <w:rFonts w:hint="eastAsia" w:ascii="宋体" w:hAnsi="宋体" w:eastAsia="宋体" w:cs="宋体"/>
          <w:b/>
          <w:bCs w:val="0"/>
          <w:color w:val="auto"/>
          <w:sz w:val="24"/>
          <w:szCs w:val="24"/>
        </w:rPr>
        <w:t>服务</w:t>
      </w:r>
      <w:r>
        <w:rPr>
          <w:rFonts w:hint="eastAsia" w:ascii="宋体" w:hAnsi="宋体" w:eastAsia="宋体" w:cs="宋体"/>
          <w:b/>
          <w:bCs w:val="0"/>
          <w:color w:val="auto"/>
          <w:sz w:val="24"/>
          <w:szCs w:val="24"/>
          <w:lang w:val="en-US" w:eastAsia="zh-CN"/>
        </w:rPr>
        <w:t>质量</w:t>
      </w:r>
      <w:r>
        <w:rPr>
          <w:rFonts w:hint="eastAsia" w:ascii="宋体" w:hAnsi="宋体" w:eastAsia="宋体" w:cs="宋体"/>
          <w:b/>
          <w:bCs w:val="0"/>
          <w:color w:val="auto"/>
          <w:sz w:val="24"/>
          <w:szCs w:val="24"/>
        </w:rPr>
        <w:t>考核及扣款说明</w:t>
      </w:r>
    </w:p>
    <w:p>
      <w:pPr>
        <w:pStyle w:val="34"/>
        <w:ind w:firstLine="800"/>
        <w:jc w:val="center"/>
        <w:rPr>
          <w:rFonts w:hint="default" w:ascii="方正小标宋简体" w:eastAsia="方正小标宋简体" w:cs="方正小标宋简体" w:hAnsiTheme="minorEastAsia"/>
          <w:sz w:val="36"/>
          <w:szCs w:val="36"/>
        </w:rPr>
      </w:pPr>
      <w:r>
        <w:rPr>
          <w:rFonts w:ascii="方正小标宋简体" w:eastAsia="方正小标宋简体" w:cs="方正小标宋简体" w:hAnsiTheme="minorEastAsia"/>
          <w:sz w:val="36"/>
          <w:szCs w:val="36"/>
        </w:rPr>
        <w:t>运维服务质量考核评分表</w:t>
      </w:r>
    </w:p>
    <w:tbl>
      <w:tblPr>
        <w:tblStyle w:val="20"/>
        <w:tblW w:w="103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708"/>
        <w:gridCol w:w="3425"/>
        <w:gridCol w:w="990"/>
        <w:gridCol w:w="2130"/>
        <w:gridCol w:w="902"/>
        <w:gridCol w:w="660"/>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项目名称</w:t>
            </w:r>
          </w:p>
        </w:tc>
        <w:tc>
          <w:tcPr>
            <w:tcW w:w="9670" w:type="dxa"/>
            <w:gridSpan w:val="7"/>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总体要求</w:t>
            </w:r>
          </w:p>
        </w:tc>
        <w:tc>
          <w:tcPr>
            <w:tcW w:w="9670" w:type="dxa"/>
            <w:gridSpan w:val="7"/>
            <w:tcBorders>
              <w:tl2br w:val="nil"/>
              <w:tr2bl w:val="nil"/>
            </w:tcBorders>
            <w:tcMar>
              <w:top w:w="0" w:type="dxa"/>
              <w:left w:w="105" w:type="dxa"/>
              <w:bottom w:w="0" w:type="dxa"/>
              <w:right w:w="105" w:type="dxa"/>
            </w:tcMar>
            <w:vAlign w:val="center"/>
          </w:tcPr>
          <w:p>
            <w:pPr>
              <w:pStyle w:val="34"/>
              <w:spacing w:line="360" w:lineRule="exact"/>
              <w:rPr>
                <w:rFonts w:hint="default" w:asciiTheme="minorEastAsia" w:hAnsiTheme="minorEastAsia"/>
                <w:sz w:val="21"/>
                <w:szCs w:val="21"/>
              </w:rPr>
            </w:pPr>
            <w:r>
              <w:rPr>
                <w:rFonts w:cs="宋体" w:asciiTheme="minorEastAsia" w:hAnsiTheme="minorEastAsia"/>
                <w:sz w:val="21"/>
                <w:szCs w:val="21"/>
              </w:rPr>
              <w:t>每</w:t>
            </w:r>
            <w:r>
              <w:rPr>
                <w:rFonts w:cs="宋体" w:asciiTheme="minorEastAsia" w:hAnsiTheme="minorEastAsia"/>
                <w:sz w:val="21"/>
                <w:szCs w:val="21"/>
                <w:u w:val="single"/>
              </w:rPr>
              <w:t xml:space="preserve">        （月、季度等）</w:t>
            </w:r>
            <w:r>
              <w:rPr>
                <w:rFonts w:cs="宋体" w:asciiTheme="minorEastAsia" w:hAnsiTheme="minorEastAsia"/>
                <w:sz w:val="21"/>
                <w:szCs w:val="21"/>
              </w:rPr>
              <w:t>考核一次。按照项目招投标文件及合同要求，对运维服务单位提供的运维服务质量情况进行考核。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考核时间</w:t>
            </w:r>
          </w:p>
        </w:tc>
        <w:tc>
          <w:tcPr>
            <w:tcW w:w="9670" w:type="dxa"/>
            <w:gridSpan w:val="7"/>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u w:val="single"/>
              </w:rPr>
              <w:t xml:space="preserve">        </w:t>
            </w:r>
            <w:r>
              <w:rPr>
                <w:rFonts w:cs="宋体" w:asciiTheme="minorEastAsia" w:hAnsiTheme="minorEastAsia"/>
                <w:sz w:val="21"/>
                <w:szCs w:val="21"/>
              </w:rPr>
              <w:t>年</w:t>
            </w:r>
            <w:r>
              <w:rPr>
                <w:rFonts w:cs="宋体" w:asciiTheme="minorEastAsia" w:hAnsiTheme="minorEastAsia"/>
                <w:sz w:val="21"/>
                <w:szCs w:val="21"/>
                <w:u w:val="single"/>
              </w:rPr>
              <w:t xml:space="preserve">      </w:t>
            </w:r>
            <w:r>
              <w:rPr>
                <w:rFonts w:cs="宋体" w:asciiTheme="minorEastAsia" w:hAnsiTheme="minorEastAsia"/>
                <w:sz w:val="21"/>
                <w:szCs w:val="21"/>
              </w:rPr>
              <w:t xml:space="preserve">月 至 </w:t>
            </w:r>
            <w:r>
              <w:rPr>
                <w:rFonts w:cs="宋体" w:asciiTheme="minorEastAsia" w:hAnsiTheme="minorEastAsia"/>
                <w:sz w:val="21"/>
                <w:szCs w:val="21"/>
                <w:u w:val="single"/>
              </w:rPr>
              <w:t xml:space="preserve">        </w:t>
            </w:r>
            <w:r>
              <w:rPr>
                <w:rFonts w:cs="宋体" w:asciiTheme="minorEastAsia" w:hAnsiTheme="minorEastAsia"/>
                <w:sz w:val="21"/>
                <w:szCs w:val="21"/>
              </w:rPr>
              <w:t>年</w:t>
            </w:r>
            <w:r>
              <w:rPr>
                <w:rFonts w:cs="宋体" w:asciiTheme="minorEastAsia" w:hAnsiTheme="minorEastAsia"/>
                <w:sz w:val="21"/>
                <w:szCs w:val="21"/>
                <w:u w:val="single"/>
              </w:rPr>
              <w:t xml:space="preserve">      </w:t>
            </w:r>
            <w:r>
              <w:rPr>
                <w:rFonts w:cs="宋体" w:asciiTheme="minorEastAsia" w:hAnsiTheme="minorEastAsia"/>
                <w:sz w:val="21"/>
                <w:szCs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 w:type="dxa"/>
            <w:tcBorders>
              <w:tl2br w:val="nil"/>
              <w:tr2bl w:val="nil"/>
            </w:tcBorders>
            <w:tcMar>
              <w:top w:w="0" w:type="dxa"/>
              <w:left w:w="105" w:type="dxa"/>
              <w:bottom w:w="0" w:type="dxa"/>
              <w:right w:w="105" w:type="dxa"/>
            </w:tcMar>
            <w:vAlign w:val="center"/>
          </w:tcPr>
          <w:p>
            <w:pPr>
              <w:pStyle w:val="34"/>
              <w:jc w:val="center"/>
              <w:rPr>
                <w:rFonts w:hint="default" w:asciiTheme="minorEastAsia" w:hAnsiTheme="minorEastAsia"/>
                <w:sz w:val="21"/>
                <w:szCs w:val="21"/>
              </w:rPr>
            </w:pPr>
            <w:r>
              <w:rPr>
                <w:rFonts w:cs="宋体" w:asciiTheme="minorEastAsia" w:hAnsiTheme="minorEastAsia"/>
                <w:sz w:val="21"/>
                <w:szCs w:val="21"/>
              </w:rPr>
              <w:t>序号</w:t>
            </w:r>
          </w:p>
        </w:tc>
        <w:tc>
          <w:tcPr>
            <w:tcW w:w="708" w:type="dxa"/>
            <w:tcBorders>
              <w:tl2br w:val="nil"/>
              <w:tr2bl w:val="nil"/>
            </w:tcBorders>
            <w:tcMar>
              <w:top w:w="0" w:type="dxa"/>
              <w:left w:w="105" w:type="dxa"/>
              <w:bottom w:w="0" w:type="dxa"/>
              <w:right w:w="105" w:type="dxa"/>
            </w:tcMar>
            <w:vAlign w:val="center"/>
          </w:tcPr>
          <w:p>
            <w:pPr>
              <w:pStyle w:val="34"/>
              <w:jc w:val="center"/>
              <w:rPr>
                <w:rFonts w:hint="default" w:asciiTheme="minorEastAsia" w:hAnsiTheme="minorEastAsia"/>
                <w:sz w:val="21"/>
                <w:szCs w:val="21"/>
              </w:rPr>
            </w:pPr>
            <w:r>
              <w:rPr>
                <w:rFonts w:cs="宋体" w:asciiTheme="minorEastAsia" w:hAnsiTheme="minorEastAsia"/>
                <w:sz w:val="21"/>
                <w:szCs w:val="21"/>
              </w:rPr>
              <w:t>考核指标</w:t>
            </w:r>
          </w:p>
        </w:tc>
        <w:tc>
          <w:tcPr>
            <w:tcW w:w="3425" w:type="dxa"/>
            <w:tcBorders>
              <w:tl2br w:val="nil"/>
              <w:tr2bl w:val="nil"/>
            </w:tcBorders>
            <w:tcMar>
              <w:top w:w="0" w:type="dxa"/>
              <w:left w:w="105" w:type="dxa"/>
              <w:bottom w:w="0" w:type="dxa"/>
              <w:right w:w="105" w:type="dxa"/>
            </w:tcMar>
            <w:vAlign w:val="center"/>
          </w:tcPr>
          <w:p>
            <w:pPr>
              <w:pStyle w:val="34"/>
              <w:jc w:val="center"/>
              <w:rPr>
                <w:rFonts w:hint="default" w:asciiTheme="minorEastAsia" w:hAnsiTheme="minorEastAsia"/>
                <w:sz w:val="21"/>
                <w:szCs w:val="21"/>
              </w:rPr>
            </w:pPr>
            <w:r>
              <w:rPr>
                <w:rFonts w:cs="宋体" w:asciiTheme="minorEastAsia" w:hAnsiTheme="minorEastAsia"/>
                <w:sz w:val="21"/>
                <w:szCs w:val="21"/>
              </w:rPr>
              <w:t>指标要求</w:t>
            </w:r>
          </w:p>
        </w:tc>
        <w:tc>
          <w:tcPr>
            <w:tcW w:w="3120" w:type="dxa"/>
            <w:gridSpan w:val="2"/>
            <w:tcBorders>
              <w:tl2br w:val="nil"/>
              <w:tr2bl w:val="nil"/>
            </w:tcBorders>
            <w:tcMar>
              <w:top w:w="0" w:type="dxa"/>
              <w:left w:w="105" w:type="dxa"/>
              <w:bottom w:w="0" w:type="dxa"/>
              <w:right w:w="105" w:type="dxa"/>
            </w:tcMar>
            <w:vAlign w:val="center"/>
          </w:tcPr>
          <w:p>
            <w:pPr>
              <w:pStyle w:val="34"/>
              <w:jc w:val="center"/>
              <w:rPr>
                <w:rFonts w:hint="default" w:asciiTheme="minorEastAsia" w:hAnsiTheme="minorEastAsia"/>
                <w:sz w:val="21"/>
                <w:szCs w:val="21"/>
              </w:rPr>
            </w:pPr>
            <w:r>
              <w:rPr>
                <w:rFonts w:cs="宋体" w:asciiTheme="minorEastAsia" w:hAnsiTheme="minorEastAsia"/>
                <w:sz w:val="21"/>
                <w:szCs w:val="21"/>
              </w:rPr>
              <w:t>评分标准</w:t>
            </w:r>
          </w:p>
        </w:tc>
        <w:tc>
          <w:tcPr>
            <w:tcW w:w="902" w:type="dxa"/>
            <w:tcBorders>
              <w:tl2br w:val="nil"/>
              <w:tr2bl w:val="nil"/>
            </w:tcBorders>
            <w:tcMar>
              <w:top w:w="0" w:type="dxa"/>
              <w:left w:w="105" w:type="dxa"/>
              <w:bottom w:w="0" w:type="dxa"/>
              <w:right w:w="105" w:type="dxa"/>
            </w:tcMar>
            <w:vAlign w:val="center"/>
          </w:tcPr>
          <w:p>
            <w:pPr>
              <w:pStyle w:val="34"/>
              <w:jc w:val="center"/>
              <w:rPr>
                <w:rFonts w:hint="default" w:asciiTheme="minorEastAsia" w:hAnsiTheme="minorEastAsia"/>
                <w:sz w:val="21"/>
                <w:szCs w:val="21"/>
              </w:rPr>
            </w:pPr>
            <w:r>
              <w:rPr>
                <w:rFonts w:hint="eastAsia" w:asciiTheme="minorEastAsia" w:hAnsiTheme="minorEastAsia"/>
                <w:sz w:val="21"/>
                <w:szCs w:val="21"/>
                <w:lang w:eastAsia="zh-CN"/>
              </w:rPr>
              <w:t>服务</w:t>
            </w:r>
            <w:r>
              <w:rPr>
                <w:rFonts w:asciiTheme="minorEastAsia" w:hAnsiTheme="minorEastAsia"/>
                <w:sz w:val="21"/>
                <w:szCs w:val="21"/>
              </w:rPr>
              <w:t>方</w:t>
            </w:r>
          </w:p>
          <w:p>
            <w:pPr>
              <w:pStyle w:val="34"/>
              <w:jc w:val="center"/>
              <w:rPr>
                <w:rFonts w:hint="default" w:asciiTheme="minorEastAsia" w:hAnsiTheme="minorEastAsia"/>
                <w:sz w:val="21"/>
                <w:szCs w:val="21"/>
              </w:rPr>
            </w:pPr>
            <w:r>
              <w:rPr>
                <w:rFonts w:asciiTheme="minorEastAsia" w:hAnsiTheme="minorEastAsia"/>
                <w:sz w:val="21"/>
                <w:szCs w:val="21"/>
              </w:rPr>
              <w:t>自评分</w:t>
            </w:r>
          </w:p>
        </w:tc>
        <w:tc>
          <w:tcPr>
            <w:tcW w:w="660" w:type="dxa"/>
            <w:tcBorders>
              <w:tl2br w:val="nil"/>
              <w:tr2bl w:val="nil"/>
            </w:tcBorders>
            <w:vAlign w:val="center"/>
          </w:tcPr>
          <w:p>
            <w:pPr>
              <w:pStyle w:val="34"/>
              <w:jc w:val="center"/>
              <w:rPr>
                <w:rFonts w:hint="default" w:asciiTheme="minorEastAsia" w:hAnsiTheme="minorEastAsia"/>
                <w:sz w:val="21"/>
                <w:szCs w:val="21"/>
              </w:rPr>
            </w:pPr>
            <w:r>
              <w:rPr>
                <w:rFonts w:asciiTheme="minorEastAsia" w:hAnsiTheme="minorEastAsia"/>
                <w:sz w:val="21"/>
                <w:szCs w:val="21"/>
              </w:rPr>
              <w:t>中心</w:t>
            </w:r>
            <w:r>
              <w:rPr>
                <w:rFonts w:hint="default" w:asciiTheme="minorEastAsia" w:hAnsiTheme="minorEastAsia"/>
                <w:sz w:val="21"/>
                <w:szCs w:val="21"/>
              </w:rPr>
              <w:t>评分</w:t>
            </w:r>
          </w:p>
        </w:tc>
        <w:tc>
          <w:tcPr>
            <w:tcW w:w="855" w:type="dxa"/>
            <w:tcBorders>
              <w:tl2br w:val="nil"/>
              <w:tr2bl w:val="nil"/>
            </w:tcBorders>
            <w:vAlign w:val="center"/>
          </w:tcPr>
          <w:p>
            <w:pPr>
              <w:pStyle w:val="34"/>
              <w:jc w:val="center"/>
              <w:rPr>
                <w:rFonts w:hint="default" w:asciiTheme="minorEastAsia" w:hAnsiTheme="minorEastAsia"/>
                <w:sz w:val="21"/>
                <w:szCs w:val="21"/>
              </w:rPr>
            </w:pPr>
            <w:r>
              <w:rPr>
                <w:rFonts w:hint="default" w:asciiTheme="minorEastAsia" w:hAnsiTheme="minorEastAsia"/>
                <w:sz w:val="21"/>
                <w:szCs w:val="21"/>
              </w:rPr>
              <w:t>扣分</w:t>
            </w:r>
            <w:r>
              <w:rPr>
                <w:rFonts w:asciiTheme="minorEastAsia" w:hAnsiTheme="minorEastAsia"/>
                <w:sz w:val="21"/>
                <w:szCs w:val="21"/>
              </w:rPr>
              <w:br w:type="textWrapping"/>
            </w:r>
            <w:r>
              <w:rPr>
                <w:rFonts w:hint="default" w:asciiTheme="minorEastAsia" w:hAnsiTheme="minorEastAsia"/>
                <w:sz w:val="21"/>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26" w:hRule="atLeast"/>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1</w:t>
            </w:r>
          </w:p>
        </w:tc>
        <w:tc>
          <w:tcPr>
            <w:tcW w:w="708"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服务团队</w:t>
            </w:r>
            <w:r>
              <w:rPr>
                <w:rFonts w:asciiTheme="minorEastAsia" w:hAnsiTheme="minorEastAsia"/>
                <w:sz w:val="21"/>
                <w:szCs w:val="21"/>
              </w:rPr>
              <w:br w:type="textWrapping"/>
            </w:r>
            <w:r>
              <w:rPr>
                <w:rFonts w:cs="宋体" w:asciiTheme="minorEastAsia" w:hAnsiTheme="minorEastAsia"/>
                <w:sz w:val="21"/>
                <w:szCs w:val="21"/>
              </w:rPr>
              <w:t>（15分）</w:t>
            </w:r>
          </w:p>
        </w:tc>
        <w:tc>
          <w:tcPr>
            <w:tcW w:w="3425" w:type="dxa"/>
            <w:tcBorders>
              <w:tl2br w:val="nil"/>
              <w:tr2bl w:val="nil"/>
            </w:tcBorders>
            <w:tcMar>
              <w:top w:w="0" w:type="dxa"/>
              <w:left w:w="105" w:type="dxa"/>
              <w:bottom w:w="0" w:type="dxa"/>
              <w:right w:w="105" w:type="dxa"/>
            </w:tcMar>
            <w:vAlign w:val="center"/>
          </w:tcPr>
          <w:p>
            <w:pPr>
              <w:pStyle w:val="34"/>
              <w:spacing w:line="360" w:lineRule="exact"/>
              <w:rPr>
                <w:rFonts w:hint="default" w:asciiTheme="minorEastAsia" w:hAnsiTheme="minorEastAsia"/>
                <w:sz w:val="21"/>
                <w:szCs w:val="21"/>
              </w:rPr>
            </w:pPr>
            <w:r>
              <w:rPr>
                <w:rFonts w:cs="宋体" w:asciiTheme="minorEastAsia" w:hAnsiTheme="minorEastAsia"/>
                <w:sz w:val="21"/>
                <w:szCs w:val="21"/>
              </w:rPr>
              <w:t>1.根据信息化项目的特点组建服务团队，明确团队人员的岗位和职责分工，其中现场驻点负责人须经中心同意。</w:t>
            </w:r>
            <w:r>
              <w:rPr>
                <w:rFonts w:hint="default" w:cs="宋体" w:asciiTheme="minorEastAsia" w:hAnsiTheme="minorEastAsia"/>
                <w:sz w:val="21"/>
                <w:szCs w:val="21"/>
              </w:rPr>
              <w:br w:type="textWrapping"/>
            </w:r>
            <w:r>
              <w:rPr>
                <w:rFonts w:cs="宋体" w:asciiTheme="minorEastAsia" w:hAnsiTheme="minorEastAsia"/>
                <w:sz w:val="21"/>
                <w:szCs w:val="21"/>
              </w:rPr>
              <w:t>2.应保证服务团队人员稳定，原则上不得更换现场驻点负责人，确因员工离职等原因造成人员变动的，须配置同等能力人员并经中心书面同意，完成工作交接后方可更换。</w:t>
            </w:r>
            <w:r>
              <w:rPr>
                <w:rFonts w:hint="default" w:cs="宋体" w:asciiTheme="minorEastAsia" w:hAnsiTheme="minorEastAsia"/>
                <w:sz w:val="21"/>
                <w:szCs w:val="21"/>
              </w:rPr>
              <w:br w:type="textWrapping"/>
            </w:r>
            <w:r>
              <w:rPr>
                <w:rFonts w:cs="宋体" w:asciiTheme="minorEastAsia" w:hAnsiTheme="minorEastAsia"/>
                <w:sz w:val="21"/>
                <w:szCs w:val="21"/>
              </w:rPr>
              <w:t>3.现场驻点人员须严格遵守中心日常工作纪律，与中心工作时间保持一致，不得无故迟到、早退、旷工，现场驻点负责人请假须经中心同意。</w:t>
            </w:r>
          </w:p>
        </w:tc>
        <w:tc>
          <w:tcPr>
            <w:tcW w:w="3120" w:type="dxa"/>
            <w:gridSpan w:val="2"/>
            <w:tcBorders>
              <w:tl2br w:val="nil"/>
              <w:tr2bl w:val="nil"/>
            </w:tcBorders>
            <w:tcMar>
              <w:top w:w="0" w:type="dxa"/>
              <w:left w:w="105" w:type="dxa"/>
              <w:bottom w:w="0" w:type="dxa"/>
              <w:right w:w="105" w:type="dxa"/>
            </w:tcMar>
            <w:vAlign w:val="center"/>
          </w:tcPr>
          <w:p>
            <w:pPr>
              <w:pStyle w:val="34"/>
              <w:spacing w:line="360" w:lineRule="exact"/>
              <w:rPr>
                <w:rFonts w:hint="default" w:asciiTheme="minorEastAsia" w:hAnsiTheme="minorEastAsia"/>
                <w:sz w:val="21"/>
                <w:szCs w:val="21"/>
              </w:rPr>
            </w:pPr>
            <w:r>
              <w:rPr>
                <w:rFonts w:cs="宋体" w:asciiTheme="minorEastAsia" w:hAnsiTheme="minorEastAsia"/>
                <w:sz w:val="21"/>
                <w:szCs w:val="21"/>
              </w:rPr>
              <w:t>1.更换现场驻点负责人的，每次扣5分；更换服务团队其他现场驻点人员的，每人次扣1分；未取得中心书面同意或未配备同资质人员的，本项不得分。</w:t>
            </w:r>
            <w:r>
              <w:rPr>
                <w:rFonts w:hint="default" w:cs="宋体" w:asciiTheme="minorEastAsia" w:hAnsiTheme="minorEastAsia"/>
                <w:sz w:val="21"/>
                <w:szCs w:val="21"/>
              </w:rPr>
              <w:br w:type="textWrapping"/>
            </w:r>
            <w:r>
              <w:rPr>
                <w:rFonts w:cs="宋体" w:asciiTheme="minorEastAsia" w:hAnsiTheme="minorEastAsia"/>
                <w:sz w:val="21"/>
                <w:szCs w:val="21"/>
              </w:rPr>
              <w:t>2.现场驻点负责人请假未经中心批准的本项不得分；现场其他驻点人员未遵守中心日常工作纪律，旷工的，每人次扣2分；迟到、早退的，每人次扣0.5分。</w:t>
            </w:r>
            <w:r>
              <w:rPr>
                <w:rFonts w:asciiTheme="minorEastAsia" w:hAnsiTheme="minorEastAsia"/>
                <w:sz w:val="21"/>
                <w:szCs w:val="21"/>
              </w:rPr>
              <w:br w:type="textWrapping"/>
            </w:r>
            <w:r>
              <w:rPr>
                <w:rFonts w:cs="宋体" w:asciiTheme="minorEastAsia" w:hAnsiTheme="minorEastAsia"/>
                <w:sz w:val="21"/>
                <w:szCs w:val="21"/>
              </w:rPr>
              <w:t>3.运维人员因服务态度不佳被用户投诉的，每次扣2分；因此产生效能投诉的，本项不得分。</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cs="宋体"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cs="宋体"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38" w:hRule="atLeast"/>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2</w:t>
            </w:r>
          </w:p>
        </w:tc>
        <w:tc>
          <w:tcPr>
            <w:tcW w:w="708"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技术服务</w:t>
            </w:r>
            <w:r>
              <w:rPr>
                <w:rFonts w:asciiTheme="minorEastAsia" w:hAnsiTheme="minorEastAsia"/>
                <w:sz w:val="21"/>
                <w:szCs w:val="21"/>
              </w:rPr>
              <w:br w:type="textWrapping"/>
            </w:r>
            <w:r>
              <w:rPr>
                <w:rFonts w:cs="宋体" w:asciiTheme="minorEastAsia" w:hAnsiTheme="minorEastAsia"/>
                <w:sz w:val="21"/>
                <w:szCs w:val="21"/>
              </w:rPr>
              <w:t>（30分）</w:t>
            </w:r>
          </w:p>
        </w:tc>
        <w:tc>
          <w:tcPr>
            <w:tcW w:w="3425" w:type="dxa"/>
            <w:tcBorders>
              <w:tl2br w:val="nil"/>
              <w:tr2bl w:val="nil"/>
            </w:tcBorders>
            <w:tcMar>
              <w:top w:w="0" w:type="dxa"/>
              <w:left w:w="105" w:type="dxa"/>
              <w:bottom w:w="0" w:type="dxa"/>
              <w:right w:w="105" w:type="dxa"/>
            </w:tcMar>
            <w:vAlign w:val="center"/>
          </w:tcPr>
          <w:p>
            <w:pPr>
              <w:pStyle w:val="34"/>
              <w:spacing w:line="360" w:lineRule="exact"/>
              <w:jc w:val="both"/>
              <w:rPr>
                <w:rFonts w:hint="default" w:asciiTheme="minorEastAsia" w:hAnsiTheme="minorEastAsia"/>
                <w:sz w:val="21"/>
                <w:szCs w:val="21"/>
              </w:rPr>
            </w:pPr>
            <w:r>
              <w:rPr>
                <w:rFonts w:cs="宋体" w:asciiTheme="minorEastAsia" w:hAnsiTheme="minorEastAsia"/>
                <w:sz w:val="21"/>
                <w:szCs w:val="21"/>
              </w:rPr>
              <w:t>1.根据运维服务项目招投标文件和合同等要求，制定实施方案，并按照实施方案完成全部服务项目。</w:t>
            </w:r>
            <w:r>
              <w:rPr>
                <w:rFonts w:asciiTheme="minorEastAsia" w:hAnsiTheme="minorEastAsia"/>
                <w:sz w:val="21"/>
                <w:szCs w:val="21"/>
              </w:rPr>
              <w:br w:type="textWrapping"/>
            </w:r>
            <w:r>
              <w:rPr>
                <w:rFonts w:cs="宋体" w:asciiTheme="minorEastAsia" w:hAnsiTheme="minorEastAsia"/>
                <w:sz w:val="21"/>
                <w:szCs w:val="21"/>
              </w:rPr>
              <w:t>2.按照约定周期做好信息化项目软、硬件和数据的日常监测巡检，如实记录结果，如发现异常情况，应及时向中心报告并采取相应处置措施。</w:t>
            </w:r>
            <w:r>
              <w:rPr>
                <w:rFonts w:hint="default" w:cs="宋体" w:asciiTheme="minorEastAsia" w:hAnsiTheme="minorEastAsia"/>
                <w:sz w:val="21"/>
                <w:szCs w:val="21"/>
              </w:rPr>
              <w:br w:type="textWrapping"/>
            </w:r>
            <w:r>
              <w:rPr>
                <w:rFonts w:cs="宋体" w:asciiTheme="minorEastAsia" w:hAnsiTheme="minorEastAsia"/>
                <w:sz w:val="21"/>
                <w:szCs w:val="21"/>
              </w:rPr>
              <w:t>3.</w:t>
            </w:r>
            <w:r>
              <w:t xml:space="preserve"> </w:t>
            </w:r>
            <w:r>
              <w:rPr>
                <w:rFonts w:cs="宋体" w:asciiTheme="minorEastAsia" w:hAnsiTheme="minorEastAsia"/>
                <w:sz w:val="21"/>
                <w:szCs w:val="21"/>
              </w:rPr>
              <w:t>接收到故障信息后，运维服务单位应根据故障等级的响应时间要求进行故障处理，一般故障的响应时间应小于2小时，重大故障的响应时间应小于30分钟。</w:t>
            </w:r>
            <w:r>
              <w:rPr>
                <w:rFonts w:hint="default" w:cs="宋体" w:asciiTheme="minorEastAsia" w:hAnsiTheme="minorEastAsia"/>
                <w:sz w:val="21"/>
                <w:szCs w:val="21"/>
              </w:rPr>
              <w:br w:type="textWrapping"/>
            </w:r>
            <w:r>
              <w:rPr>
                <w:rFonts w:cs="宋体" w:asciiTheme="minorEastAsia" w:hAnsiTheme="minorEastAsia"/>
                <w:sz w:val="21"/>
                <w:szCs w:val="21"/>
              </w:rPr>
              <w:t>4.按规范开展应用程序、数据库和服务器设备维护，不得在生产环境中擅自关停或重启应用程序、数据库和服务器设备等。对应用程序或数据库更新维护前，应做好相关备份，并在测试环境中进行充分测试后实施，且更新维护完成后在生产环境中再次检验。重大更新维护应将维护方案报中心同意后进行。</w:t>
            </w:r>
            <w:r>
              <w:rPr>
                <w:rFonts w:hint="default" w:cs="宋体" w:asciiTheme="minorEastAsia" w:hAnsiTheme="minorEastAsia"/>
                <w:sz w:val="21"/>
                <w:szCs w:val="21"/>
              </w:rPr>
              <w:br w:type="textWrapping"/>
            </w:r>
            <w:r>
              <w:rPr>
                <w:rFonts w:cs="宋体" w:asciiTheme="minorEastAsia" w:hAnsiTheme="minorEastAsia"/>
                <w:sz w:val="21"/>
                <w:szCs w:val="21"/>
              </w:rPr>
              <w:t>5.根据中心要求开展应急预案的培训和演练，并根据演练情况总结经验教训，提出改进措施。</w:t>
            </w:r>
          </w:p>
        </w:tc>
        <w:tc>
          <w:tcPr>
            <w:tcW w:w="3120" w:type="dxa"/>
            <w:gridSpan w:val="2"/>
            <w:tcBorders>
              <w:tl2br w:val="nil"/>
              <w:tr2bl w:val="nil"/>
            </w:tcBorders>
            <w:tcMar>
              <w:top w:w="0" w:type="dxa"/>
              <w:left w:w="105" w:type="dxa"/>
              <w:bottom w:w="0" w:type="dxa"/>
              <w:right w:w="105" w:type="dxa"/>
            </w:tcMar>
            <w:vAlign w:val="center"/>
          </w:tcPr>
          <w:p>
            <w:pPr>
              <w:pStyle w:val="34"/>
              <w:spacing w:line="360" w:lineRule="exact"/>
              <w:jc w:val="both"/>
              <w:rPr>
                <w:rFonts w:hint="default" w:asciiTheme="minorEastAsia" w:hAnsiTheme="minorEastAsia"/>
                <w:sz w:val="21"/>
                <w:szCs w:val="21"/>
              </w:rPr>
            </w:pPr>
            <w:r>
              <w:rPr>
                <w:rFonts w:cs="宋体" w:asciiTheme="minorEastAsia" w:hAnsiTheme="minorEastAsia"/>
                <w:sz w:val="21"/>
                <w:szCs w:val="21"/>
              </w:rPr>
              <w:t>1.未按照约定周期开展日常监测巡检，每缺失1次巡检记录扣2分。</w:t>
            </w:r>
            <w:r>
              <w:rPr>
                <w:rFonts w:asciiTheme="minorEastAsia" w:hAnsiTheme="minorEastAsia"/>
                <w:sz w:val="21"/>
                <w:szCs w:val="21"/>
              </w:rPr>
              <w:br w:type="textWrapping"/>
            </w:r>
            <w:r>
              <w:rPr>
                <w:rFonts w:cs="宋体" w:asciiTheme="minorEastAsia" w:hAnsiTheme="minorEastAsia"/>
                <w:sz w:val="21"/>
                <w:szCs w:val="21"/>
              </w:rPr>
              <w:t>2.未按响应时间要求进行故障处理的，每次扣2分。</w:t>
            </w:r>
            <w:r>
              <w:rPr>
                <w:rFonts w:hint="default" w:cs="宋体" w:asciiTheme="minorEastAsia" w:hAnsiTheme="minorEastAsia"/>
                <w:sz w:val="21"/>
                <w:szCs w:val="21"/>
              </w:rPr>
              <w:br w:type="textWrapping"/>
            </w:r>
            <w:r>
              <w:rPr>
                <w:rFonts w:cs="宋体" w:asciiTheme="minorEastAsia" w:hAnsiTheme="minorEastAsia"/>
                <w:sz w:val="21"/>
                <w:szCs w:val="21"/>
              </w:rPr>
              <w:t>3.未按照规范进行应用程序、数据库和服务器设备更新维护的，每次扣2分。</w:t>
            </w:r>
            <w:r>
              <w:rPr>
                <w:rFonts w:hint="default" w:cs="宋体" w:asciiTheme="minorEastAsia" w:hAnsiTheme="minorEastAsia"/>
                <w:sz w:val="21"/>
                <w:szCs w:val="21"/>
              </w:rPr>
              <w:br w:type="textWrapping"/>
            </w:r>
            <w:r>
              <w:rPr>
                <w:rFonts w:cs="宋体" w:asciiTheme="minorEastAsia" w:hAnsiTheme="minorEastAsia"/>
                <w:sz w:val="21"/>
                <w:szCs w:val="21"/>
              </w:rPr>
              <w:t>4.未经中心批准在生产环境中擅自关停或重启应用程序、数据库和服务器设备的，本项不得分。</w:t>
            </w:r>
            <w:r>
              <w:rPr>
                <w:rFonts w:hint="default" w:cs="宋体" w:asciiTheme="minorEastAsia" w:hAnsiTheme="minorEastAsia"/>
                <w:sz w:val="21"/>
                <w:szCs w:val="21"/>
              </w:rPr>
              <w:br w:type="textWrapping"/>
            </w:r>
            <w:r>
              <w:rPr>
                <w:rFonts w:asciiTheme="minorEastAsia" w:hAnsiTheme="minorEastAsia"/>
                <w:sz w:val="21"/>
                <w:szCs w:val="21"/>
              </w:rPr>
              <w:t>5.</w:t>
            </w:r>
            <w:r>
              <w:rPr>
                <w:rFonts w:cs="宋体" w:asciiTheme="minorEastAsia" w:hAnsiTheme="minorEastAsia"/>
                <w:sz w:val="21"/>
                <w:szCs w:val="21"/>
              </w:rPr>
              <w:t>未按中心要求开展应急预案培训和演练的，本项不得分。</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cs="宋体" w:asciiTheme="minorEastAsia" w:hAnsiTheme="minorEastAsia"/>
                <w:sz w:val="21"/>
                <w:szCs w:val="21"/>
              </w:rPr>
            </w:pPr>
            <w:r>
              <w:rPr>
                <w:rFonts w:cs="宋体" w:asciiTheme="minorEastAsia" w:hAnsiTheme="minorEastAsia"/>
                <w:sz w:val="21"/>
                <w:szCs w:val="21"/>
              </w:rPr>
              <w:t>3</w:t>
            </w:r>
          </w:p>
        </w:tc>
        <w:tc>
          <w:tcPr>
            <w:tcW w:w="708"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cs="宋体" w:asciiTheme="minorEastAsia" w:hAnsiTheme="minorEastAsia"/>
                <w:sz w:val="21"/>
                <w:szCs w:val="21"/>
              </w:rPr>
            </w:pPr>
            <w:r>
              <w:rPr>
                <w:rFonts w:cs="宋体" w:asciiTheme="minorEastAsia" w:hAnsiTheme="minorEastAsia"/>
                <w:sz w:val="21"/>
                <w:szCs w:val="21"/>
              </w:rPr>
              <w:t>汇报文档</w:t>
            </w:r>
            <w:r>
              <w:rPr>
                <w:rFonts w:hint="default" w:cs="宋体" w:asciiTheme="minorEastAsia" w:hAnsiTheme="minorEastAsia"/>
                <w:sz w:val="21"/>
                <w:szCs w:val="21"/>
              </w:rPr>
              <w:br w:type="textWrapping"/>
            </w:r>
            <w:r>
              <w:rPr>
                <w:rFonts w:hint="default" w:cs="宋体" w:asciiTheme="minorEastAsia" w:hAnsiTheme="minorEastAsia"/>
                <w:sz w:val="21"/>
                <w:szCs w:val="21"/>
              </w:rPr>
              <w:t>（</w:t>
            </w:r>
            <w:r>
              <w:rPr>
                <w:rFonts w:cs="宋体" w:asciiTheme="minorEastAsia" w:hAnsiTheme="minorEastAsia"/>
                <w:sz w:val="21"/>
                <w:szCs w:val="21"/>
              </w:rPr>
              <w:t>25分</w:t>
            </w:r>
            <w:r>
              <w:rPr>
                <w:rFonts w:hint="default" w:cs="宋体" w:asciiTheme="minorEastAsia" w:hAnsiTheme="minorEastAsia"/>
                <w:sz w:val="21"/>
                <w:szCs w:val="21"/>
              </w:rPr>
              <w:t>）</w:t>
            </w:r>
          </w:p>
        </w:tc>
        <w:tc>
          <w:tcPr>
            <w:tcW w:w="3425" w:type="dxa"/>
            <w:tcBorders>
              <w:tl2br w:val="nil"/>
              <w:tr2bl w:val="nil"/>
            </w:tcBorders>
            <w:tcMar>
              <w:top w:w="0" w:type="dxa"/>
              <w:left w:w="105" w:type="dxa"/>
              <w:bottom w:w="0" w:type="dxa"/>
              <w:right w:w="105" w:type="dxa"/>
            </w:tcMar>
            <w:vAlign w:val="center"/>
          </w:tcPr>
          <w:p>
            <w:pPr>
              <w:pStyle w:val="34"/>
              <w:spacing w:line="360" w:lineRule="exact"/>
              <w:rPr>
                <w:rFonts w:hint="default" w:cs="宋体" w:asciiTheme="minorEastAsia" w:hAnsiTheme="minorEastAsia"/>
                <w:sz w:val="21"/>
                <w:szCs w:val="21"/>
              </w:rPr>
            </w:pPr>
            <w:r>
              <w:rPr>
                <w:rFonts w:cs="宋体" w:asciiTheme="minorEastAsia" w:hAnsiTheme="minorEastAsia"/>
                <w:sz w:val="21"/>
                <w:szCs w:val="21"/>
              </w:rPr>
              <w:t>1.定期向中心报告巡检、故障处置情况等运维工作情况。</w:t>
            </w:r>
            <w:r>
              <w:rPr>
                <w:rFonts w:hint="default" w:cs="宋体" w:asciiTheme="minorEastAsia" w:hAnsiTheme="minorEastAsia"/>
                <w:sz w:val="21"/>
                <w:szCs w:val="21"/>
              </w:rPr>
              <w:br w:type="textWrapping"/>
            </w:r>
            <w:r>
              <w:rPr>
                <w:rFonts w:cs="宋体" w:asciiTheme="minorEastAsia" w:hAnsiTheme="minorEastAsia"/>
                <w:sz w:val="21"/>
                <w:szCs w:val="21"/>
              </w:rPr>
              <w:t>2.做好各类会议的记录，并于会议结束后2个工作日内完成会议纪要编制，经中心同意后分发。</w:t>
            </w:r>
            <w:r>
              <w:rPr>
                <w:rFonts w:hint="default" w:cs="宋体" w:asciiTheme="minorEastAsia" w:hAnsiTheme="minorEastAsia"/>
                <w:sz w:val="21"/>
                <w:szCs w:val="21"/>
              </w:rPr>
              <w:br w:type="textWrapping"/>
            </w:r>
            <w:r>
              <w:rPr>
                <w:rFonts w:cs="宋体" w:asciiTheme="minorEastAsia" w:hAnsiTheme="minorEastAsia"/>
                <w:sz w:val="21"/>
                <w:szCs w:val="21"/>
              </w:rPr>
              <w:t>3.运维服务单位单独接收到的服务需求或与运维相关的信息，应做好书面记录并及时向中心报告，特别涉及数据修改、权限调整、系统功能改变等重要内容的，应立即向中心报告。</w:t>
            </w:r>
            <w:r>
              <w:rPr>
                <w:rFonts w:hint="default" w:cs="宋体" w:asciiTheme="minorEastAsia" w:hAnsiTheme="minorEastAsia"/>
                <w:sz w:val="21"/>
                <w:szCs w:val="21"/>
              </w:rPr>
              <w:br w:type="textWrapping"/>
            </w:r>
            <w:r>
              <w:rPr>
                <w:rFonts w:cs="宋体" w:asciiTheme="minorEastAsia" w:hAnsiTheme="minorEastAsia"/>
                <w:sz w:val="21"/>
                <w:szCs w:val="21"/>
              </w:rPr>
              <w:t>4.按照文档命名规则、更新、审核发布、存储等的要求开展运维项目文档管理，确保文档的准确性和时效性。</w:t>
            </w:r>
          </w:p>
        </w:tc>
        <w:tc>
          <w:tcPr>
            <w:tcW w:w="3120" w:type="dxa"/>
            <w:gridSpan w:val="2"/>
            <w:tcBorders>
              <w:tl2br w:val="nil"/>
              <w:tr2bl w:val="nil"/>
            </w:tcBorders>
            <w:tcMar>
              <w:top w:w="0" w:type="dxa"/>
              <w:left w:w="105" w:type="dxa"/>
              <w:bottom w:w="0" w:type="dxa"/>
              <w:right w:w="105" w:type="dxa"/>
            </w:tcMar>
            <w:vAlign w:val="center"/>
          </w:tcPr>
          <w:p>
            <w:pPr>
              <w:pStyle w:val="34"/>
              <w:spacing w:line="360" w:lineRule="exact"/>
              <w:jc w:val="both"/>
              <w:rPr>
                <w:rFonts w:hint="default" w:cs="宋体" w:asciiTheme="minorEastAsia" w:hAnsiTheme="minorEastAsia"/>
                <w:sz w:val="21"/>
                <w:szCs w:val="21"/>
              </w:rPr>
            </w:pPr>
            <w:r>
              <w:rPr>
                <w:rFonts w:cs="宋体" w:asciiTheme="minorEastAsia" w:hAnsiTheme="minorEastAsia"/>
                <w:sz w:val="21"/>
                <w:szCs w:val="21"/>
              </w:rPr>
              <w:t>1.未</w:t>
            </w:r>
            <w:r>
              <w:rPr>
                <w:rFonts w:asciiTheme="minorEastAsia" w:hAnsiTheme="minorEastAsia"/>
                <w:sz w:val="21"/>
                <w:szCs w:val="21"/>
              </w:rPr>
              <w:t>按要求</w:t>
            </w:r>
            <w:r>
              <w:rPr>
                <w:rFonts w:cs="宋体" w:asciiTheme="minorEastAsia" w:hAnsiTheme="minorEastAsia"/>
                <w:sz w:val="21"/>
                <w:szCs w:val="21"/>
              </w:rPr>
              <w:t>向中心报告巡检、故障处置情况等运维工作情况的</w:t>
            </w:r>
            <w:r>
              <w:rPr>
                <w:rFonts w:asciiTheme="minorEastAsia" w:hAnsiTheme="minorEastAsia"/>
                <w:sz w:val="21"/>
                <w:szCs w:val="21"/>
              </w:rPr>
              <w:t>，每次扣1分。</w:t>
            </w:r>
          </w:p>
          <w:p>
            <w:pPr>
              <w:pStyle w:val="34"/>
              <w:spacing w:line="360" w:lineRule="exact"/>
              <w:jc w:val="both"/>
              <w:rPr>
                <w:rFonts w:hint="default" w:asciiTheme="minorEastAsia" w:hAnsiTheme="minorEastAsia"/>
                <w:sz w:val="21"/>
                <w:szCs w:val="21"/>
              </w:rPr>
            </w:pPr>
            <w:r>
              <w:rPr>
                <w:rFonts w:cs="宋体" w:asciiTheme="minorEastAsia" w:hAnsiTheme="minorEastAsia"/>
                <w:sz w:val="21"/>
                <w:szCs w:val="21"/>
              </w:rPr>
              <w:t>2.</w:t>
            </w:r>
            <w:r>
              <w:rPr>
                <w:rFonts w:asciiTheme="minorEastAsia" w:hAnsiTheme="minorEastAsia"/>
                <w:sz w:val="21"/>
                <w:szCs w:val="21"/>
              </w:rPr>
              <w:t>未及时向中心报告</w:t>
            </w:r>
            <w:r>
              <w:rPr>
                <w:rFonts w:cs="宋体" w:asciiTheme="minorEastAsia" w:hAnsiTheme="minorEastAsia"/>
                <w:sz w:val="21"/>
                <w:szCs w:val="21"/>
              </w:rPr>
              <w:t>单独接收到的服务需求或与运维相关信息的</w:t>
            </w:r>
            <w:r>
              <w:rPr>
                <w:rFonts w:asciiTheme="minorEastAsia" w:hAnsiTheme="minorEastAsia"/>
                <w:sz w:val="21"/>
                <w:szCs w:val="21"/>
              </w:rPr>
              <w:t>，每次扣2分。</w:t>
            </w:r>
          </w:p>
          <w:p>
            <w:pPr>
              <w:pStyle w:val="34"/>
              <w:spacing w:line="360" w:lineRule="exact"/>
              <w:jc w:val="both"/>
              <w:rPr>
                <w:rFonts w:hint="default" w:cs="宋体" w:asciiTheme="minorEastAsia" w:hAnsiTheme="minorEastAsia"/>
                <w:sz w:val="21"/>
                <w:szCs w:val="21"/>
              </w:rPr>
            </w:pPr>
            <w:r>
              <w:rPr>
                <w:rFonts w:asciiTheme="minorEastAsia" w:hAnsiTheme="minorEastAsia"/>
                <w:sz w:val="21"/>
                <w:szCs w:val="21"/>
              </w:rPr>
              <w:t>3.未按要求完成会议纪要编制和分发的，每次扣1分。</w:t>
            </w:r>
            <w:r>
              <w:rPr>
                <w:rFonts w:hint="default" w:asciiTheme="minorEastAsia" w:hAnsiTheme="minorEastAsia"/>
                <w:sz w:val="21"/>
                <w:szCs w:val="21"/>
              </w:rPr>
              <w:br w:type="textWrapping"/>
            </w:r>
            <w:r>
              <w:rPr>
                <w:rFonts w:cs="宋体" w:asciiTheme="minorEastAsia" w:hAnsiTheme="minorEastAsia"/>
                <w:sz w:val="21"/>
                <w:szCs w:val="21"/>
              </w:rPr>
              <w:t>4.未按要求交付文档资料的，每缺1份扣1分；存在文档造假的，本项不得分。</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69" w:hRule="atLeast"/>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4</w:t>
            </w:r>
          </w:p>
        </w:tc>
        <w:tc>
          <w:tcPr>
            <w:tcW w:w="708"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网络安全</w:t>
            </w:r>
            <w:r>
              <w:rPr>
                <w:rFonts w:asciiTheme="minorEastAsia" w:hAnsiTheme="minorEastAsia"/>
                <w:sz w:val="21"/>
                <w:szCs w:val="21"/>
              </w:rPr>
              <w:br w:type="textWrapping"/>
            </w:r>
            <w:r>
              <w:rPr>
                <w:rFonts w:cs="宋体" w:asciiTheme="minorEastAsia" w:hAnsiTheme="minorEastAsia"/>
                <w:sz w:val="21"/>
                <w:szCs w:val="21"/>
              </w:rPr>
              <w:t>（30分）</w:t>
            </w:r>
          </w:p>
        </w:tc>
        <w:tc>
          <w:tcPr>
            <w:tcW w:w="3425" w:type="dxa"/>
            <w:tcBorders>
              <w:tl2br w:val="nil"/>
              <w:tr2bl w:val="nil"/>
            </w:tcBorders>
            <w:tcMar>
              <w:top w:w="0" w:type="dxa"/>
              <w:left w:w="105" w:type="dxa"/>
              <w:bottom w:w="0" w:type="dxa"/>
              <w:right w:w="105" w:type="dxa"/>
            </w:tcMar>
            <w:vAlign w:val="center"/>
          </w:tcPr>
          <w:p>
            <w:pPr>
              <w:pStyle w:val="34"/>
              <w:spacing w:line="360" w:lineRule="exact"/>
              <w:rPr>
                <w:rFonts w:hint="default" w:cs="宋体" w:asciiTheme="minorEastAsia" w:hAnsiTheme="minorEastAsia"/>
                <w:sz w:val="21"/>
                <w:szCs w:val="21"/>
              </w:rPr>
            </w:pPr>
            <w:r>
              <w:rPr>
                <w:rFonts w:cs="宋体" w:asciiTheme="minorEastAsia" w:hAnsiTheme="minorEastAsia"/>
                <w:sz w:val="21"/>
                <w:szCs w:val="21"/>
              </w:rPr>
              <w:t>1.定期进行漏洞扫描等网络安全相关检测、测试和安全审计，发现异常网络活动和安全事件应及时向中心报告并采取相应处置措施。</w:t>
            </w:r>
            <w:r>
              <w:rPr>
                <w:rFonts w:hint="default" w:cs="宋体" w:asciiTheme="minorEastAsia" w:hAnsiTheme="minorEastAsia"/>
                <w:sz w:val="21"/>
                <w:szCs w:val="21"/>
              </w:rPr>
              <w:br w:type="textWrapping"/>
            </w:r>
            <w:r>
              <w:rPr>
                <w:rFonts w:cs="宋体" w:asciiTheme="minorEastAsia" w:hAnsiTheme="minorEastAsia"/>
                <w:sz w:val="21"/>
                <w:szCs w:val="21"/>
              </w:rPr>
              <w:t>2.做好数据备份、重要数据加密以及信息系统、数据的访问权限控制和管理。</w:t>
            </w:r>
            <w:r>
              <w:rPr>
                <w:rFonts w:hint="default" w:cs="宋体" w:asciiTheme="minorEastAsia" w:hAnsiTheme="minorEastAsia"/>
                <w:sz w:val="21"/>
                <w:szCs w:val="21"/>
              </w:rPr>
              <w:br w:type="textWrapping"/>
            </w:r>
            <w:r>
              <w:rPr>
                <w:rFonts w:cs="宋体" w:asciiTheme="minorEastAsia" w:hAnsiTheme="minorEastAsia"/>
                <w:sz w:val="21"/>
                <w:szCs w:val="21"/>
              </w:rPr>
              <w:t>3.根据网络安全主管部门的通报、等级保护测评结果、第三方网络安全服务机构巡检等信息，及时排查和处置网络与数据安全漏洞，并将结果书面盖章后报中心。</w:t>
            </w:r>
            <w:r>
              <w:rPr>
                <w:rFonts w:hint="default" w:cs="宋体" w:asciiTheme="minorEastAsia" w:hAnsiTheme="minorEastAsia"/>
                <w:sz w:val="21"/>
                <w:szCs w:val="21"/>
              </w:rPr>
              <w:br w:type="textWrapping"/>
            </w:r>
            <w:r>
              <w:rPr>
                <w:rFonts w:cs="宋体" w:asciiTheme="minorEastAsia" w:hAnsiTheme="minorEastAsia"/>
                <w:sz w:val="21"/>
                <w:szCs w:val="21"/>
              </w:rPr>
              <w:t>4.做好账号、密码、数字证书等管理，及时撤销已离职或职责变更的服务人员权限，并回收相关账号、数字证书等。</w:t>
            </w:r>
          </w:p>
        </w:tc>
        <w:tc>
          <w:tcPr>
            <w:tcW w:w="3120" w:type="dxa"/>
            <w:gridSpan w:val="2"/>
            <w:tcBorders>
              <w:tl2br w:val="nil"/>
              <w:tr2bl w:val="nil"/>
            </w:tcBorders>
            <w:tcMar>
              <w:top w:w="0" w:type="dxa"/>
              <w:left w:w="105" w:type="dxa"/>
              <w:bottom w:w="0" w:type="dxa"/>
              <w:right w:w="105" w:type="dxa"/>
            </w:tcMar>
            <w:vAlign w:val="center"/>
          </w:tcPr>
          <w:p>
            <w:pPr>
              <w:pStyle w:val="34"/>
              <w:spacing w:line="360" w:lineRule="exact"/>
              <w:rPr>
                <w:rFonts w:hint="default" w:asciiTheme="minorEastAsia" w:hAnsiTheme="minorEastAsia"/>
                <w:sz w:val="21"/>
                <w:szCs w:val="21"/>
              </w:rPr>
            </w:pPr>
            <w:r>
              <w:rPr>
                <w:rFonts w:cs="宋体" w:asciiTheme="minorEastAsia" w:hAnsiTheme="minorEastAsia"/>
                <w:sz w:val="21"/>
                <w:szCs w:val="21"/>
              </w:rPr>
              <w:t>1.未定期开展漏洞扫描等网络安全相关检测、测试和安全审计的，每次扣2分。</w:t>
            </w:r>
            <w:r>
              <w:rPr>
                <w:rFonts w:hint="default" w:cs="宋体" w:asciiTheme="minorEastAsia" w:hAnsiTheme="minorEastAsia"/>
                <w:sz w:val="21"/>
                <w:szCs w:val="21"/>
              </w:rPr>
              <w:br w:type="textWrapping"/>
            </w:r>
            <w:r>
              <w:rPr>
                <w:rFonts w:cs="宋体" w:asciiTheme="minorEastAsia" w:hAnsiTheme="minorEastAsia"/>
                <w:sz w:val="21"/>
                <w:szCs w:val="21"/>
              </w:rPr>
              <w:t>2.发现的网络与数据安全问题未及时向中心报告并采取相应处置措施的，每项扣2分。</w:t>
            </w:r>
            <w:r>
              <w:rPr>
                <w:rFonts w:hint="default" w:cs="宋体" w:asciiTheme="minorEastAsia" w:hAnsiTheme="minorEastAsia"/>
                <w:sz w:val="21"/>
                <w:szCs w:val="21"/>
              </w:rPr>
              <w:br w:type="textWrapping"/>
            </w:r>
            <w:r>
              <w:rPr>
                <w:rFonts w:cs="宋体" w:asciiTheme="minorEastAsia" w:hAnsiTheme="minorEastAsia"/>
                <w:sz w:val="21"/>
                <w:szCs w:val="21"/>
              </w:rPr>
              <w:t>3.未按要求开展数据备份、重要数据加密的，每次扣2分。</w:t>
            </w:r>
            <w:r>
              <w:rPr>
                <w:rFonts w:hint="default" w:cs="宋体" w:asciiTheme="minorEastAsia" w:hAnsiTheme="minorEastAsia"/>
                <w:sz w:val="21"/>
                <w:szCs w:val="21"/>
              </w:rPr>
              <w:br w:type="textWrapping"/>
            </w:r>
            <w:r>
              <w:rPr>
                <w:rFonts w:cs="宋体" w:asciiTheme="minorEastAsia" w:hAnsiTheme="minorEastAsia"/>
                <w:sz w:val="21"/>
                <w:szCs w:val="21"/>
              </w:rPr>
              <w:t>4.未及时撤销已离职或职责变更的服务人员权限，并回收相关账号、数字证书的，每次扣2分。</w:t>
            </w:r>
            <w:r>
              <w:rPr>
                <w:rFonts w:hint="default" w:cs="宋体" w:asciiTheme="minorEastAsia" w:hAnsiTheme="minorEastAsia"/>
                <w:sz w:val="21"/>
                <w:szCs w:val="21"/>
              </w:rPr>
              <w:br w:type="textWrapping"/>
            </w:r>
            <w:r>
              <w:rPr>
                <w:rFonts w:cs="宋体" w:asciiTheme="minorEastAsia" w:hAnsiTheme="minorEastAsia"/>
                <w:sz w:val="21"/>
                <w:szCs w:val="21"/>
              </w:rPr>
              <w:t>5.未完成网络安全主管部门通报安全问题整改的，本项不得分。</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88" w:hRule="atLeast"/>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5</w:t>
            </w:r>
          </w:p>
        </w:tc>
        <w:tc>
          <w:tcPr>
            <w:tcW w:w="708"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一票否决项</w:t>
            </w:r>
          </w:p>
        </w:tc>
        <w:tc>
          <w:tcPr>
            <w:tcW w:w="6545" w:type="dxa"/>
            <w:gridSpan w:val="3"/>
            <w:tcBorders>
              <w:tl2br w:val="nil"/>
              <w:tr2bl w:val="nil"/>
            </w:tcBorders>
            <w:tcMar>
              <w:top w:w="0" w:type="dxa"/>
              <w:left w:w="105" w:type="dxa"/>
              <w:bottom w:w="0" w:type="dxa"/>
              <w:right w:w="105" w:type="dxa"/>
            </w:tcMar>
            <w:vAlign w:val="center"/>
          </w:tcPr>
          <w:p>
            <w:pPr>
              <w:pStyle w:val="34"/>
              <w:spacing w:line="360" w:lineRule="exact"/>
              <w:rPr>
                <w:rFonts w:hint="default" w:asciiTheme="minorEastAsia" w:hAnsiTheme="minorEastAsia"/>
                <w:sz w:val="21"/>
                <w:szCs w:val="21"/>
              </w:rPr>
            </w:pPr>
            <w:r>
              <w:rPr>
                <w:rFonts w:cs="宋体" w:asciiTheme="minorEastAsia" w:hAnsiTheme="minorEastAsia"/>
                <w:sz w:val="21"/>
                <w:szCs w:val="21"/>
              </w:rPr>
              <w:t>因运维服务单位原因造成以下情形的，当期考核不得分：</w:t>
            </w:r>
            <w:r>
              <w:rPr>
                <w:rFonts w:asciiTheme="minorEastAsia" w:hAnsiTheme="minorEastAsia"/>
                <w:sz w:val="21"/>
                <w:szCs w:val="21"/>
              </w:rPr>
              <w:br w:type="textWrapping"/>
            </w:r>
            <w:r>
              <w:rPr>
                <w:rFonts w:asciiTheme="minorEastAsia" w:hAnsiTheme="minorEastAsia"/>
                <w:sz w:val="21"/>
                <w:szCs w:val="21"/>
              </w:rPr>
              <w:t>1.违反国家网络安全、数据安全和保密安全等有关法律、法规、规章、制度。</w:t>
            </w:r>
            <w:r>
              <w:rPr>
                <w:rFonts w:hint="default" w:asciiTheme="minorEastAsia" w:hAnsiTheme="minorEastAsia"/>
                <w:sz w:val="21"/>
                <w:szCs w:val="21"/>
              </w:rPr>
              <w:br w:type="textWrapping"/>
            </w:r>
            <w:r>
              <w:rPr>
                <w:rFonts w:asciiTheme="minorEastAsia" w:hAnsiTheme="minorEastAsia"/>
                <w:sz w:val="21"/>
                <w:szCs w:val="21"/>
              </w:rPr>
              <w:t>2.发生网络与数据安全、保密安全事故被上级部门通报。</w:t>
            </w:r>
            <w:r>
              <w:rPr>
                <w:rFonts w:hint="default" w:asciiTheme="minorEastAsia" w:hAnsiTheme="minorEastAsia"/>
                <w:sz w:val="21"/>
                <w:szCs w:val="21"/>
              </w:rPr>
              <w:br w:type="textWrapping"/>
            </w:r>
            <w:r>
              <w:rPr>
                <w:rFonts w:asciiTheme="minorEastAsia" w:hAnsiTheme="minorEastAsia"/>
                <w:sz w:val="21"/>
                <w:szCs w:val="21"/>
              </w:rPr>
              <w:t>3.未经规定程序审批，擅自篡改数据和用户权限。</w:t>
            </w:r>
            <w:r>
              <w:rPr>
                <w:rFonts w:hint="default" w:asciiTheme="minorEastAsia" w:hAnsiTheme="minorEastAsia"/>
                <w:sz w:val="21"/>
                <w:szCs w:val="21"/>
              </w:rPr>
              <w:br w:type="textWrapping"/>
            </w:r>
            <w:r>
              <w:rPr>
                <w:rFonts w:asciiTheme="minorEastAsia" w:hAnsiTheme="minorEastAsia"/>
                <w:sz w:val="21"/>
                <w:szCs w:val="21"/>
              </w:rPr>
              <w:t>4.因运维措施不当造成数据错乱、丢失且无法恢复。</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8" w:hRule="atLeast"/>
          <w:jc w:val="center"/>
        </w:trPr>
        <w:tc>
          <w:tcPr>
            <w:tcW w:w="7892" w:type="dxa"/>
            <w:gridSpan w:val="5"/>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合  计</w:t>
            </w:r>
          </w:p>
        </w:tc>
        <w:tc>
          <w:tcPr>
            <w:tcW w:w="902"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p>
        </w:tc>
        <w:tc>
          <w:tcPr>
            <w:tcW w:w="660" w:type="dxa"/>
            <w:tcBorders>
              <w:tl2br w:val="nil"/>
              <w:tr2bl w:val="nil"/>
            </w:tcBorders>
            <w:vAlign w:val="center"/>
          </w:tcPr>
          <w:p>
            <w:pPr>
              <w:pStyle w:val="34"/>
              <w:spacing w:line="360" w:lineRule="exact"/>
              <w:jc w:val="center"/>
              <w:rPr>
                <w:rFonts w:hint="default" w:asciiTheme="minorEastAsia" w:hAnsiTheme="minorEastAsia"/>
                <w:sz w:val="21"/>
                <w:szCs w:val="21"/>
              </w:rPr>
            </w:pPr>
          </w:p>
        </w:tc>
        <w:tc>
          <w:tcPr>
            <w:tcW w:w="855" w:type="dxa"/>
            <w:tcBorders>
              <w:tl2br w:val="nil"/>
              <w:tr2bl w:val="nil"/>
            </w:tcBorders>
            <w:vAlign w:val="center"/>
          </w:tcPr>
          <w:p>
            <w:pPr>
              <w:pStyle w:val="34"/>
              <w:spacing w:line="360" w:lineRule="exact"/>
              <w:jc w:val="center"/>
              <w:rPr>
                <w:rFonts w:hint="default" w:asciiTheme="minorEastAsia" w:hAnsi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jc w:val="center"/>
        </w:trPr>
        <w:tc>
          <w:tcPr>
            <w:tcW w:w="639"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运维服务单位意见</w:t>
            </w:r>
          </w:p>
        </w:tc>
        <w:tc>
          <w:tcPr>
            <w:tcW w:w="4133" w:type="dxa"/>
            <w:gridSpan w:val="2"/>
            <w:tcBorders>
              <w:tl2br w:val="nil"/>
              <w:tr2bl w:val="nil"/>
            </w:tcBorders>
            <w:tcMar>
              <w:top w:w="0" w:type="dxa"/>
              <w:left w:w="105" w:type="dxa"/>
              <w:bottom w:w="0" w:type="dxa"/>
              <w:right w:w="105" w:type="dxa"/>
            </w:tcMar>
            <w:vAlign w:val="center"/>
          </w:tcPr>
          <w:p>
            <w:pPr>
              <w:pStyle w:val="34"/>
              <w:spacing w:line="360" w:lineRule="exact"/>
              <w:jc w:val="center"/>
              <w:rPr>
                <w:rFonts w:cs="宋体" w:asciiTheme="minorEastAsia" w:hAnsiTheme="minorEastAsia"/>
                <w:sz w:val="21"/>
                <w:szCs w:val="21"/>
              </w:rPr>
            </w:pPr>
            <w:r>
              <w:rPr>
                <w:rFonts w:asciiTheme="minorEastAsia" w:hAnsiTheme="minorEastAsia"/>
                <w:sz w:val="21"/>
                <w:szCs w:val="21"/>
              </w:rPr>
              <w:br w:type="textWrapping"/>
            </w:r>
            <w:r>
              <w:rPr>
                <w:rFonts w:asciiTheme="minorEastAsia" w:hAnsiTheme="minorEastAsia"/>
                <w:sz w:val="21"/>
                <w:szCs w:val="21"/>
              </w:rPr>
              <w:br w:type="textWrapping"/>
            </w:r>
            <w:r>
              <w:rPr>
                <w:rFonts w:asciiTheme="minorEastAsia" w:hAnsiTheme="minorEastAsia"/>
                <w:sz w:val="21"/>
                <w:szCs w:val="21"/>
              </w:rPr>
              <w:br w:type="textWrapping"/>
            </w:r>
            <w:r>
              <w:rPr>
                <w:rFonts w:asciiTheme="minorEastAsia" w:hAnsiTheme="minorEastAsia"/>
                <w:sz w:val="21"/>
                <w:szCs w:val="21"/>
              </w:rPr>
              <w:br w:type="textWrapping"/>
            </w:r>
            <w:r>
              <w:rPr>
                <w:rFonts w:cs="宋体" w:asciiTheme="minorEastAsia" w:hAnsiTheme="minorEastAsia"/>
                <w:sz w:val="21"/>
                <w:szCs w:val="21"/>
              </w:rPr>
              <w:t xml:space="preserve">       日期：</w:t>
            </w:r>
          </w:p>
          <w:p>
            <w:pPr>
              <w:pStyle w:val="34"/>
              <w:spacing w:line="360" w:lineRule="exact"/>
              <w:jc w:val="center"/>
              <w:rPr>
                <w:rFonts w:hint="default" w:cs="宋体" w:asciiTheme="minorEastAsia" w:hAnsiTheme="minorEastAsia"/>
                <w:sz w:val="21"/>
                <w:szCs w:val="21"/>
              </w:rPr>
            </w:pPr>
          </w:p>
        </w:tc>
        <w:tc>
          <w:tcPr>
            <w:tcW w:w="990" w:type="dxa"/>
            <w:tcBorders>
              <w:tl2br w:val="nil"/>
              <w:tr2bl w:val="nil"/>
            </w:tcBorders>
            <w:tcMar>
              <w:top w:w="0" w:type="dxa"/>
              <w:left w:w="105" w:type="dxa"/>
              <w:bottom w:w="0" w:type="dxa"/>
              <w:right w:w="105" w:type="dxa"/>
            </w:tcMar>
            <w:vAlign w:val="center"/>
          </w:tcPr>
          <w:p>
            <w:pPr>
              <w:pStyle w:val="34"/>
              <w:spacing w:line="360" w:lineRule="exact"/>
              <w:jc w:val="center"/>
              <w:rPr>
                <w:rFonts w:hint="default" w:cs="宋体" w:asciiTheme="minorEastAsia" w:hAnsiTheme="minorEastAsia"/>
                <w:sz w:val="21"/>
                <w:szCs w:val="21"/>
              </w:rPr>
            </w:pPr>
            <w:r>
              <w:rPr>
                <w:rFonts w:cs="宋体" w:asciiTheme="minorEastAsia" w:hAnsiTheme="minorEastAsia"/>
                <w:sz w:val="21"/>
                <w:szCs w:val="21"/>
              </w:rPr>
              <w:t>行政</w:t>
            </w:r>
          </w:p>
          <w:p>
            <w:pPr>
              <w:pStyle w:val="34"/>
              <w:spacing w:line="360" w:lineRule="exact"/>
              <w:jc w:val="center"/>
              <w:rPr>
                <w:rFonts w:hint="default" w:cs="宋体" w:asciiTheme="minorEastAsia" w:hAnsiTheme="minorEastAsia"/>
                <w:sz w:val="21"/>
                <w:szCs w:val="21"/>
              </w:rPr>
            </w:pPr>
            <w:r>
              <w:rPr>
                <w:rFonts w:cs="宋体" w:asciiTheme="minorEastAsia" w:hAnsiTheme="minorEastAsia"/>
                <w:sz w:val="21"/>
                <w:szCs w:val="21"/>
              </w:rPr>
              <w:t>服务</w:t>
            </w:r>
          </w:p>
          <w:p>
            <w:pPr>
              <w:pStyle w:val="34"/>
              <w:spacing w:line="360" w:lineRule="exact"/>
              <w:jc w:val="center"/>
              <w:rPr>
                <w:rFonts w:hint="default" w:cs="宋体" w:asciiTheme="minorEastAsia" w:hAnsiTheme="minorEastAsia"/>
                <w:sz w:val="21"/>
                <w:szCs w:val="21"/>
              </w:rPr>
            </w:pPr>
            <w:r>
              <w:rPr>
                <w:rFonts w:cs="宋体" w:asciiTheme="minorEastAsia" w:hAnsiTheme="minorEastAsia"/>
                <w:sz w:val="21"/>
                <w:szCs w:val="21"/>
              </w:rPr>
              <w:t>中心</w:t>
            </w:r>
          </w:p>
          <w:p>
            <w:pPr>
              <w:pStyle w:val="34"/>
              <w:spacing w:line="360" w:lineRule="exact"/>
              <w:jc w:val="center"/>
              <w:rPr>
                <w:rFonts w:hint="default" w:asciiTheme="minorEastAsia" w:hAnsiTheme="minorEastAsia"/>
                <w:sz w:val="21"/>
                <w:szCs w:val="21"/>
              </w:rPr>
            </w:pPr>
            <w:r>
              <w:rPr>
                <w:rFonts w:cs="宋体" w:asciiTheme="minorEastAsia" w:hAnsiTheme="minorEastAsia"/>
                <w:sz w:val="21"/>
                <w:szCs w:val="21"/>
              </w:rPr>
              <w:t>意见</w:t>
            </w:r>
          </w:p>
        </w:tc>
        <w:tc>
          <w:tcPr>
            <w:tcW w:w="4547" w:type="dxa"/>
            <w:gridSpan w:val="4"/>
            <w:tcBorders>
              <w:tl2br w:val="nil"/>
              <w:tr2bl w:val="nil"/>
            </w:tcBorders>
            <w:tcMar>
              <w:top w:w="0" w:type="dxa"/>
              <w:left w:w="105" w:type="dxa"/>
              <w:bottom w:w="0" w:type="dxa"/>
              <w:right w:w="105" w:type="dxa"/>
            </w:tcMar>
            <w:vAlign w:val="center"/>
          </w:tcPr>
          <w:p>
            <w:pPr>
              <w:pStyle w:val="34"/>
              <w:spacing w:line="360" w:lineRule="exact"/>
              <w:jc w:val="center"/>
              <w:rPr>
                <w:rFonts w:hint="default" w:asciiTheme="minorEastAsia" w:hAnsiTheme="minorEastAsia"/>
                <w:sz w:val="21"/>
                <w:szCs w:val="21"/>
              </w:rPr>
            </w:pPr>
            <w:r>
              <w:rPr>
                <w:rFonts w:hint="default" w:asciiTheme="minorEastAsia" w:hAnsiTheme="minorEastAsia"/>
                <w:sz w:val="21"/>
                <w:szCs w:val="21"/>
              </w:rPr>
              <w:br w:type="textWrapping"/>
            </w:r>
            <w:r>
              <w:rPr>
                <w:rFonts w:asciiTheme="minorEastAsia" w:hAnsiTheme="minorEastAsia"/>
                <w:sz w:val="21"/>
                <w:szCs w:val="21"/>
              </w:rPr>
              <w:br w:type="textWrapping"/>
            </w:r>
            <w:r>
              <w:rPr>
                <w:rFonts w:asciiTheme="minorEastAsia" w:hAnsiTheme="minorEastAsia"/>
                <w:sz w:val="21"/>
                <w:szCs w:val="21"/>
              </w:rPr>
              <w:br w:type="textWrapping"/>
            </w:r>
            <w:r>
              <w:rPr>
                <w:rFonts w:asciiTheme="minorEastAsia" w:hAnsiTheme="minorEastAsia"/>
                <w:sz w:val="21"/>
                <w:szCs w:val="21"/>
              </w:rPr>
              <w:br w:type="textWrapping"/>
            </w:r>
            <w:r>
              <w:rPr>
                <w:rFonts w:cs="宋体" w:asciiTheme="minorEastAsia" w:hAnsiTheme="minorEastAsia"/>
                <w:sz w:val="21"/>
                <w:szCs w:val="21"/>
              </w:rPr>
              <w:t xml:space="preserve">        日期：</w:t>
            </w:r>
          </w:p>
        </w:tc>
      </w:tr>
    </w:tbl>
    <w:p>
      <w:pPr>
        <w:pStyle w:val="16"/>
        <w:pageBreakBefore w:val="0"/>
        <w:widowControl/>
        <w:kinsoku/>
        <w:wordWrap/>
        <w:overflowPunct/>
        <w:topLinePunct w:val="0"/>
        <w:bidi w:val="0"/>
        <w:spacing w:before="0" w:beforeAutospacing="0" w:after="0" w:afterAutospacing="0" w:line="360" w:lineRule="auto"/>
        <w:ind w:firstLine="390" w:firstLineChars="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rPr>
        <w:t>在合同</w:t>
      </w:r>
      <w:r>
        <w:rPr>
          <w:rFonts w:hint="eastAsia" w:ascii="宋体" w:hAnsi="宋体" w:eastAsia="宋体" w:cs="宋体"/>
          <w:i w:val="0"/>
          <w:caps w:val="0"/>
          <w:color w:val="auto"/>
          <w:spacing w:val="0"/>
          <w:sz w:val="24"/>
          <w:szCs w:val="24"/>
          <w:lang w:val="en-US" w:eastAsia="zh-CN"/>
        </w:rPr>
        <w:t>期内，每月对本月的服务质量按上表进行考核，当月考核得分低于80分（不含80分），</w:t>
      </w:r>
      <w:r>
        <w:rPr>
          <w:rFonts w:hint="eastAsia" w:ascii="宋体" w:hAnsi="宋体" w:eastAsia="宋体" w:cs="宋体"/>
          <w:i w:val="0"/>
          <w:caps w:val="0"/>
          <w:color w:val="auto"/>
          <w:spacing w:val="0"/>
          <w:sz w:val="24"/>
          <w:szCs w:val="24"/>
        </w:rPr>
        <w:t>用户有权每次扣总额的</w:t>
      </w:r>
      <w:r>
        <w:rPr>
          <w:rFonts w:hint="eastAsia" w:ascii="宋体" w:hAnsi="宋体" w:eastAsia="宋体" w:cs="宋体"/>
          <w:i w:val="0"/>
          <w:caps w:val="0"/>
          <w:color w:val="auto"/>
          <w:spacing w:val="0"/>
          <w:sz w:val="24"/>
          <w:szCs w:val="24"/>
          <w:lang w:val="en-US" w:eastAsia="zh-CN"/>
        </w:rPr>
        <w:t>8</w:t>
      </w:r>
      <w:r>
        <w:rPr>
          <w:rFonts w:hint="eastAsia" w:ascii="宋体" w:hAnsi="宋体" w:eastAsia="宋体" w:cs="宋体"/>
          <w:i w:val="0"/>
          <w:caps w:val="0"/>
          <w:color w:val="auto"/>
          <w:spacing w:val="0"/>
          <w:sz w:val="24"/>
          <w:szCs w:val="24"/>
        </w:rPr>
        <w:t>%，直到扣完为止。</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63968"/>
    <w:multiLevelType w:val="multilevel"/>
    <w:tmpl w:val="33463968"/>
    <w:lvl w:ilvl="0" w:tentative="0">
      <w:start w:val="1"/>
      <w:numFmt w:val="decimal"/>
      <w:lvlText w:val="%1"/>
      <w:lvlJc w:val="left"/>
      <w:pPr>
        <w:ind w:left="432" w:hanging="432"/>
      </w:pPr>
    </w:lvl>
    <w:lvl w:ilvl="1" w:tentative="0">
      <w:start w:val="1"/>
      <w:numFmt w:val="decimal"/>
      <w:lvlText w:val="%1.%2"/>
      <w:lvlJc w:val="left"/>
      <w:pPr>
        <w:ind w:left="1144"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9"/>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CB7EDB4"/>
    <w:multiLevelType w:val="multilevel"/>
    <w:tmpl w:val="5CB7EDB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sz w:val="36"/>
        <w:szCs w:val="36"/>
      </w:rPr>
    </w:lvl>
    <w:lvl w:ilvl="2" w:tentative="0">
      <w:start w:val="1"/>
      <w:numFmt w:val="decimal"/>
      <w:lvlText w:val="%1.%2.%3."/>
      <w:lvlJc w:val="left"/>
      <w:pPr>
        <w:ind w:left="720" w:hanging="720"/>
      </w:pPr>
      <w:rPr>
        <w:rFonts w:hint="default"/>
      </w:rPr>
    </w:lvl>
    <w:lvl w:ilvl="3" w:tentative="0">
      <w:start w:val="1"/>
      <w:numFmt w:val="decimal"/>
      <w:lvlText w:val="%1.%2.%3.%4."/>
      <w:lvlJc w:val="left"/>
      <w:pPr>
        <w:ind w:left="5683"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lvlText w:val="%1.%2.%3.%4.%5.%6."/>
      <w:lvlJc w:val="left"/>
      <w:pPr>
        <w:ind w:left="1151" w:hanging="1151"/>
      </w:pPr>
      <w:rPr>
        <w:rFonts w:hint="default" w:ascii="宋体" w:hAnsi="宋体" w:eastAsia="宋体" w:cs="宋体"/>
        <w:b/>
        <w:bCs/>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5DE9C911"/>
    <w:multiLevelType w:val="multilevel"/>
    <w:tmpl w:val="5DE9C911"/>
    <w:lvl w:ilvl="0" w:tentative="0">
      <w:start w:val="1"/>
      <w:numFmt w:val="decimal"/>
      <w:pStyle w:val="22"/>
      <w:suff w:val="nothing"/>
      <w:lvlText w:val="第%1章 "/>
      <w:lvlJc w:val="left"/>
      <w:pPr>
        <w:ind w:left="1276" w:firstLine="0"/>
      </w:pPr>
      <w:rPr>
        <w:rFonts w:hint="eastAsia" w:ascii="宋体" w:hAnsi="宋体" w:eastAsia="宋体"/>
        <w:b/>
        <w:i w:val="0"/>
        <w:sz w:val="44"/>
      </w:rPr>
    </w:lvl>
    <w:lvl w:ilvl="1" w:tentative="0">
      <w:start w:val="1"/>
      <w:numFmt w:val="decimal"/>
      <w:pStyle w:val="23"/>
      <w:suff w:val="nothing"/>
      <w:lvlText w:val="%1.%2."/>
      <w:lvlJc w:val="left"/>
      <w:pPr>
        <w:ind w:left="1260" w:firstLine="0"/>
      </w:pPr>
      <w:rPr>
        <w:rFonts w:hint="eastAsia" w:ascii="宋体" w:hAnsi="宋体" w:eastAsia="宋体" w:cs="宋体"/>
        <w:b/>
        <w:i w:val="0"/>
        <w:sz w:val="36"/>
        <w:szCs w:val="36"/>
      </w:rPr>
    </w:lvl>
    <w:lvl w:ilvl="2" w:tentative="0">
      <w:start w:val="1"/>
      <w:numFmt w:val="decimal"/>
      <w:pStyle w:val="24"/>
      <w:suff w:val="nothing"/>
      <w:lvlText w:val="%1.%2.%3."/>
      <w:lvlJc w:val="left"/>
      <w:pPr>
        <w:ind w:left="0" w:firstLine="0"/>
      </w:pPr>
      <w:rPr>
        <w:rFonts w:hint="eastAsia" w:ascii="宋体" w:hAnsi="宋体" w:eastAsia="宋体" w:cs="宋体"/>
        <w:b/>
        <w:i w:val="0"/>
        <w:sz w:val="32"/>
        <w:szCs w:val="32"/>
      </w:rPr>
    </w:lvl>
    <w:lvl w:ilvl="3" w:tentative="0">
      <w:start w:val="1"/>
      <w:numFmt w:val="decimal"/>
      <w:suff w:val="nothing"/>
      <w:lvlText w:val="%1.%2.%3.%4."/>
      <w:lvlJc w:val="left"/>
      <w:pPr>
        <w:ind w:left="0" w:firstLine="0"/>
      </w:pPr>
      <w:rPr>
        <w:rFonts w:hint="eastAsia" w:ascii="宋体" w:hAnsi="宋体" w:eastAsia="宋体"/>
        <w:b/>
        <w:i w:val="0"/>
        <w:sz w:val="30"/>
        <w:szCs w:val="30"/>
      </w:rPr>
    </w:lvl>
    <w:lvl w:ilvl="4" w:tentative="0">
      <w:start w:val="1"/>
      <w:numFmt w:val="decimal"/>
      <w:suff w:val="nothing"/>
      <w:lvlText w:val="%1.%2.%3.%4.%5."/>
      <w:lvlJc w:val="left"/>
      <w:pPr>
        <w:ind w:left="0" w:firstLine="0"/>
      </w:pPr>
      <w:rPr>
        <w:rFonts w:hint="eastAsia" w:ascii="宋体" w:hAnsi="宋体" w:eastAsia="宋体"/>
        <w:b/>
        <w:i w:val="0"/>
        <w:sz w:val="28"/>
        <w:szCs w:val="28"/>
      </w:rPr>
    </w:lvl>
    <w:lvl w:ilvl="5" w:tentative="0">
      <w:start w:val="1"/>
      <w:numFmt w:val="decimal"/>
      <w:suff w:val="nothing"/>
      <w:lvlText w:val="%1.%2.%3.%4.%5.%6."/>
      <w:lvlJc w:val="left"/>
      <w:pPr>
        <w:ind w:left="0" w:firstLine="0"/>
      </w:pPr>
      <w:rPr>
        <w:rFonts w:hint="default" w:ascii="宋体" w:hAnsi="宋体" w:eastAsia="宋体"/>
        <w:b/>
        <w:bCs w:val="0"/>
        <w:i w:val="0"/>
        <w:sz w:val="24"/>
      </w:rPr>
    </w:lvl>
    <w:lvl w:ilvl="6" w:tentative="0">
      <w:start w:val="1"/>
      <w:numFmt w:val="decimal"/>
      <w:lvlText w:val="%1.%2.%3.%4.%5.%6.%7."/>
      <w:lvlJc w:val="left"/>
      <w:pPr>
        <w:tabs>
          <w:tab w:val="left" w:pos="1276"/>
        </w:tabs>
        <w:ind w:left="0" w:firstLine="0"/>
      </w:pPr>
      <w:rPr>
        <w:rFonts w:hint="default" w:ascii="宋体" w:hAnsi="宋体" w:eastAsia="宋体"/>
        <w:b/>
        <w:bCs/>
        <w:i w:val="0"/>
        <w:sz w:val="24"/>
      </w:rPr>
    </w:lvl>
    <w:lvl w:ilvl="7" w:tentative="0">
      <w:start w:val="1"/>
      <w:numFmt w:val="decimal"/>
      <w:lvlText w:val="%1.%2.%3.%4.%5.%6.%7.%8."/>
      <w:lvlJc w:val="left"/>
      <w:pPr>
        <w:tabs>
          <w:tab w:val="left" w:pos="1418"/>
        </w:tabs>
        <w:ind w:left="0" w:firstLine="0"/>
      </w:pPr>
    </w:lvl>
    <w:lvl w:ilvl="8" w:tentative="0">
      <w:start w:val="1"/>
      <w:numFmt w:val="decimal"/>
      <w:lvlText w:val="%1.%2.%3.%4.%5.%6.%7.%8.%9."/>
      <w:lvlJc w:val="left"/>
      <w:pPr>
        <w:tabs>
          <w:tab w:val="left" w:pos="1559"/>
        </w:tabs>
        <w:ind w:left="0" w:firstLine="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zg0NDdkY2EzYzNiOTE0MTFiNjg1NjI0NDYzMzAifQ=="/>
  </w:docVars>
  <w:rsids>
    <w:rsidRoot w:val="1D402A9E"/>
    <w:rsid w:val="00007EC1"/>
    <w:rsid w:val="00045992"/>
    <w:rsid w:val="00057D42"/>
    <w:rsid w:val="000852E7"/>
    <w:rsid w:val="000A1605"/>
    <w:rsid w:val="000D156E"/>
    <w:rsid w:val="000D4A4C"/>
    <w:rsid w:val="000F3C3D"/>
    <w:rsid w:val="00205ABC"/>
    <w:rsid w:val="0029343E"/>
    <w:rsid w:val="002F3851"/>
    <w:rsid w:val="0033497D"/>
    <w:rsid w:val="003F4504"/>
    <w:rsid w:val="00485001"/>
    <w:rsid w:val="00495C79"/>
    <w:rsid w:val="004A2801"/>
    <w:rsid w:val="004C7188"/>
    <w:rsid w:val="005277DF"/>
    <w:rsid w:val="00574B1E"/>
    <w:rsid w:val="00590FE1"/>
    <w:rsid w:val="005944B4"/>
    <w:rsid w:val="005E2FBD"/>
    <w:rsid w:val="00605D3D"/>
    <w:rsid w:val="006275BD"/>
    <w:rsid w:val="006C3EFF"/>
    <w:rsid w:val="007429D7"/>
    <w:rsid w:val="00757346"/>
    <w:rsid w:val="00787E5B"/>
    <w:rsid w:val="00853D7B"/>
    <w:rsid w:val="00896043"/>
    <w:rsid w:val="00984786"/>
    <w:rsid w:val="009F51A4"/>
    <w:rsid w:val="00A261BB"/>
    <w:rsid w:val="00A91320"/>
    <w:rsid w:val="00AB055C"/>
    <w:rsid w:val="00AD5CA4"/>
    <w:rsid w:val="00AE3E77"/>
    <w:rsid w:val="00B053BA"/>
    <w:rsid w:val="00C3179B"/>
    <w:rsid w:val="00D86C86"/>
    <w:rsid w:val="00E023D1"/>
    <w:rsid w:val="00E83B36"/>
    <w:rsid w:val="00EE3993"/>
    <w:rsid w:val="00F65C99"/>
    <w:rsid w:val="01061784"/>
    <w:rsid w:val="0109464A"/>
    <w:rsid w:val="01202CF3"/>
    <w:rsid w:val="01285010"/>
    <w:rsid w:val="016463DB"/>
    <w:rsid w:val="016738CA"/>
    <w:rsid w:val="0180359B"/>
    <w:rsid w:val="018F665E"/>
    <w:rsid w:val="019A1B55"/>
    <w:rsid w:val="019C486D"/>
    <w:rsid w:val="01AF71CD"/>
    <w:rsid w:val="01C21380"/>
    <w:rsid w:val="01C42A94"/>
    <w:rsid w:val="01CD0E57"/>
    <w:rsid w:val="01D21FDA"/>
    <w:rsid w:val="01D46D54"/>
    <w:rsid w:val="01E6654B"/>
    <w:rsid w:val="01FB4268"/>
    <w:rsid w:val="0209417F"/>
    <w:rsid w:val="02105C3F"/>
    <w:rsid w:val="022A493A"/>
    <w:rsid w:val="024412D2"/>
    <w:rsid w:val="024E19F4"/>
    <w:rsid w:val="02506DBE"/>
    <w:rsid w:val="026C3750"/>
    <w:rsid w:val="028247D6"/>
    <w:rsid w:val="028A3D1F"/>
    <w:rsid w:val="02A03DD9"/>
    <w:rsid w:val="02B3437A"/>
    <w:rsid w:val="02B75F86"/>
    <w:rsid w:val="03335DFB"/>
    <w:rsid w:val="034858FC"/>
    <w:rsid w:val="034E2710"/>
    <w:rsid w:val="0354170E"/>
    <w:rsid w:val="0361246F"/>
    <w:rsid w:val="036F2389"/>
    <w:rsid w:val="037D75D5"/>
    <w:rsid w:val="03976643"/>
    <w:rsid w:val="03AC0713"/>
    <w:rsid w:val="03B65469"/>
    <w:rsid w:val="03BE0E2C"/>
    <w:rsid w:val="03F57CCF"/>
    <w:rsid w:val="03FF7031"/>
    <w:rsid w:val="04002CC6"/>
    <w:rsid w:val="0402471A"/>
    <w:rsid w:val="040E46D2"/>
    <w:rsid w:val="042A5739"/>
    <w:rsid w:val="043D4EB3"/>
    <w:rsid w:val="0440437E"/>
    <w:rsid w:val="04416AE0"/>
    <w:rsid w:val="049952A1"/>
    <w:rsid w:val="04D56B47"/>
    <w:rsid w:val="04D84FBA"/>
    <w:rsid w:val="04EE3672"/>
    <w:rsid w:val="052B4931"/>
    <w:rsid w:val="05355B4E"/>
    <w:rsid w:val="056B5EC8"/>
    <w:rsid w:val="05CA31A9"/>
    <w:rsid w:val="05D607AB"/>
    <w:rsid w:val="05F61886"/>
    <w:rsid w:val="062060A6"/>
    <w:rsid w:val="06314604"/>
    <w:rsid w:val="06361BED"/>
    <w:rsid w:val="063E32B2"/>
    <w:rsid w:val="06490AEF"/>
    <w:rsid w:val="06515400"/>
    <w:rsid w:val="06817090"/>
    <w:rsid w:val="068645E4"/>
    <w:rsid w:val="069E35FE"/>
    <w:rsid w:val="06BD2824"/>
    <w:rsid w:val="06D264D0"/>
    <w:rsid w:val="070D4021"/>
    <w:rsid w:val="07256C50"/>
    <w:rsid w:val="07493052"/>
    <w:rsid w:val="074F7702"/>
    <w:rsid w:val="075B11D7"/>
    <w:rsid w:val="076E768E"/>
    <w:rsid w:val="07713E35"/>
    <w:rsid w:val="07B72CAB"/>
    <w:rsid w:val="07BA200A"/>
    <w:rsid w:val="07C0123D"/>
    <w:rsid w:val="07E01F10"/>
    <w:rsid w:val="07E23D53"/>
    <w:rsid w:val="07E561A7"/>
    <w:rsid w:val="081F50C5"/>
    <w:rsid w:val="08266449"/>
    <w:rsid w:val="083A5B08"/>
    <w:rsid w:val="08560DE5"/>
    <w:rsid w:val="0866137F"/>
    <w:rsid w:val="087171C6"/>
    <w:rsid w:val="087A71F7"/>
    <w:rsid w:val="08866143"/>
    <w:rsid w:val="088B23D6"/>
    <w:rsid w:val="088D365A"/>
    <w:rsid w:val="08AC6194"/>
    <w:rsid w:val="08C37B4C"/>
    <w:rsid w:val="08CE4183"/>
    <w:rsid w:val="08DF56C3"/>
    <w:rsid w:val="08E20563"/>
    <w:rsid w:val="08E34D70"/>
    <w:rsid w:val="08FF0CF5"/>
    <w:rsid w:val="09205020"/>
    <w:rsid w:val="09213C99"/>
    <w:rsid w:val="095A6A7F"/>
    <w:rsid w:val="096372C5"/>
    <w:rsid w:val="096D5605"/>
    <w:rsid w:val="09850FF1"/>
    <w:rsid w:val="099153DD"/>
    <w:rsid w:val="09B27270"/>
    <w:rsid w:val="09CA7D13"/>
    <w:rsid w:val="09F9055A"/>
    <w:rsid w:val="0A1E1D47"/>
    <w:rsid w:val="0A450CDF"/>
    <w:rsid w:val="0A5847B8"/>
    <w:rsid w:val="0A6D1825"/>
    <w:rsid w:val="0A7D34D6"/>
    <w:rsid w:val="0AD47B87"/>
    <w:rsid w:val="0AEB43A3"/>
    <w:rsid w:val="0AFD14CD"/>
    <w:rsid w:val="0B0E43D2"/>
    <w:rsid w:val="0B2A4C43"/>
    <w:rsid w:val="0B351839"/>
    <w:rsid w:val="0B3550A8"/>
    <w:rsid w:val="0B387901"/>
    <w:rsid w:val="0B4704EF"/>
    <w:rsid w:val="0B475F5C"/>
    <w:rsid w:val="0B4A14A2"/>
    <w:rsid w:val="0B4E580F"/>
    <w:rsid w:val="0B5C0661"/>
    <w:rsid w:val="0B7A075E"/>
    <w:rsid w:val="0B8F6AF4"/>
    <w:rsid w:val="0B9F7FAE"/>
    <w:rsid w:val="0BAA09C2"/>
    <w:rsid w:val="0BB23702"/>
    <w:rsid w:val="0BB31698"/>
    <w:rsid w:val="0BB41C4F"/>
    <w:rsid w:val="0BD41269"/>
    <w:rsid w:val="0BD623A6"/>
    <w:rsid w:val="0C097531"/>
    <w:rsid w:val="0C244B86"/>
    <w:rsid w:val="0C2C0531"/>
    <w:rsid w:val="0C3B0FF8"/>
    <w:rsid w:val="0C3C5E0B"/>
    <w:rsid w:val="0C4C2A44"/>
    <w:rsid w:val="0C705DCC"/>
    <w:rsid w:val="0C940B25"/>
    <w:rsid w:val="0CCF568B"/>
    <w:rsid w:val="0CFD5AD9"/>
    <w:rsid w:val="0D006B19"/>
    <w:rsid w:val="0D0C028D"/>
    <w:rsid w:val="0D2F29C2"/>
    <w:rsid w:val="0D326AAF"/>
    <w:rsid w:val="0D3542BA"/>
    <w:rsid w:val="0D720016"/>
    <w:rsid w:val="0D773787"/>
    <w:rsid w:val="0D7E7FBB"/>
    <w:rsid w:val="0D8A797A"/>
    <w:rsid w:val="0D9A681D"/>
    <w:rsid w:val="0DBC2FD6"/>
    <w:rsid w:val="0DEF3741"/>
    <w:rsid w:val="0DF84D1D"/>
    <w:rsid w:val="0E153EAC"/>
    <w:rsid w:val="0E224414"/>
    <w:rsid w:val="0E366F9F"/>
    <w:rsid w:val="0E425B4E"/>
    <w:rsid w:val="0E696997"/>
    <w:rsid w:val="0E7F7433"/>
    <w:rsid w:val="0E994C1F"/>
    <w:rsid w:val="0ED564B0"/>
    <w:rsid w:val="0F0B71F3"/>
    <w:rsid w:val="0F2F3CCC"/>
    <w:rsid w:val="0F3B2449"/>
    <w:rsid w:val="0F40017E"/>
    <w:rsid w:val="0F447EC5"/>
    <w:rsid w:val="0F492381"/>
    <w:rsid w:val="0F4D1489"/>
    <w:rsid w:val="0F645FD8"/>
    <w:rsid w:val="0F667D5A"/>
    <w:rsid w:val="0F792019"/>
    <w:rsid w:val="0FA450C4"/>
    <w:rsid w:val="0FBE2C87"/>
    <w:rsid w:val="0FD929FB"/>
    <w:rsid w:val="0FE37E25"/>
    <w:rsid w:val="0FEE70A0"/>
    <w:rsid w:val="0FEF5A24"/>
    <w:rsid w:val="0FF94982"/>
    <w:rsid w:val="10031E5F"/>
    <w:rsid w:val="101C6305"/>
    <w:rsid w:val="102375A3"/>
    <w:rsid w:val="10293435"/>
    <w:rsid w:val="104C0EB8"/>
    <w:rsid w:val="105650C6"/>
    <w:rsid w:val="105C53E7"/>
    <w:rsid w:val="10711E6D"/>
    <w:rsid w:val="107321CD"/>
    <w:rsid w:val="10733128"/>
    <w:rsid w:val="10757467"/>
    <w:rsid w:val="10854F9B"/>
    <w:rsid w:val="109977E6"/>
    <w:rsid w:val="10A054EA"/>
    <w:rsid w:val="10BF7252"/>
    <w:rsid w:val="10FC526A"/>
    <w:rsid w:val="1116531D"/>
    <w:rsid w:val="115E4416"/>
    <w:rsid w:val="116D099B"/>
    <w:rsid w:val="117357B8"/>
    <w:rsid w:val="11E576C7"/>
    <w:rsid w:val="12097F00"/>
    <w:rsid w:val="12134569"/>
    <w:rsid w:val="12784795"/>
    <w:rsid w:val="12812428"/>
    <w:rsid w:val="128561A4"/>
    <w:rsid w:val="1287479D"/>
    <w:rsid w:val="12904981"/>
    <w:rsid w:val="129640D0"/>
    <w:rsid w:val="12A936EE"/>
    <w:rsid w:val="12B96C2B"/>
    <w:rsid w:val="12CC3658"/>
    <w:rsid w:val="12E45794"/>
    <w:rsid w:val="12E53009"/>
    <w:rsid w:val="13105B9A"/>
    <w:rsid w:val="133B61B7"/>
    <w:rsid w:val="133E6103"/>
    <w:rsid w:val="134F0BD6"/>
    <w:rsid w:val="13A2785E"/>
    <w:rsid w:val="13C76124"/>
    <w:rsid w:val="13DD6FB7"/>
    <w:rsid w:val="13EA7E67"/>
    <w:rsid w:val="13F15553"/>
    <w:rsid w:val="13FE738A"/>
    <w:rsid w:val="140D6C12"/>
    <w:rsid w:val="141A3F5A"/>
    <w:rsid w:val="145B43E9"/>
    <w:rsid w:val="14737C61"/>
    <w:rsid w:val="14757B82"/>
    <w:rsid w:val="147D2E61"/>
    <w:rsid w:val="149235DD"/>
    <w:rsid w:val="14AE5BEE"/>
    <w:rsid w:val="14D424C1"/>
    <w:rsid w:val="14F03A79"/>
    <w:rsid w:val="14FA08D6"/>
    <w:rsid w:val="1506135C"/>
    <w:rsid w:val="150D27C1"/>
    <w:rsid w:val="15322C8B"/>
    <w:rsid w:val="15545F6B"/>
    <w:rsid w:val="1564537D"/>
    <w:rsid w:val="159274CF"/>
    <w:rsid w:val="15A66834"/>
    <w:rsid w:val="15C519EC"/>
    <w:rsid w:val="15D64113"/>
    <w:rsid w:val="15D86131"/>
    <w:rsid w:val="15E54014"/>
    <w:rsid w:val="15E72DEE"/>
    <w:rsid w:val="160A08B2"/>
    <w:rsid w:val="1614125E"/>
    <w:rsid w:val="165179C0"/>
    <w:rsid w:val="1655688D"/>
    <w:rsid w:val="16571017"/>
    <w:rsid w:val="16694B92"/>
    <w:rsid w:val="166A0825"/>
    <w:rsid w:val="167B5639"/>
    <w:rsid w:val="167F0BB7"/>
    <w:rsid w:val="16981673"/>
    <w:rsid w:val="16A11E3D"/>
    <w:rsid w:val="16A321A2"/>
    <w:rsid w:val="16C32FBA"/>
    <w:rsid w:val="16F03F1A"/>
    <w:rsid w:val="16F15283"/>
    <w:rsid w:val="16F612EA"/>
    <w:rsid w:val="16FC6942"/>
    <w:rsid w:val="171145C0"/>
    <w:rsid w:val="17130E05"/>
    <w:rsid w:val="171A4065"/>
    <w:rsid w:val="174D27BC"/>
    <w:rsid w:val="17596C5B"/>
    <w:rsid w:val="176B7394"/>
    <w:rsid w:val="178B5510"/>
    <w:rsid w:val="17AD1413"/>
    <w:rsid w:val="17B03CBD"/>
    <w:rsid w:val="17CE66D4"/>
    <w:rsid w:val="17E02E35"/>
    <w:rsid w:val="17E868E5"/>
    <w:rsid w:val="180E292C"/>
    <w:rsid w:val="18140DA4"/>
    <w:rsid w:val="182E5254"/>
    <w:rsid w:val="183A3548"/>
    <w:rsid w:val="189009CE"/>
    <w:rsid w:val="1890412C"/>
    <w:rsid w:val="189E5308"/>
    <w:rsid w:val="18D25D58"/>
    <w:rsid w:val="18F12622"/>
    <w:rsid w:val="18F16C56"/>
    <w:rsid w:val="19287B14"/>
    <w:rsid w:val="193C2C9E"/>
    <w:rsid w:val="193D0146"/>
    <w:rsid w:val="195D2545"/>
    <w:rsid w:val="19752590"/>
    <w:rsid w:val="19826E64"/>
    <w:rsid w:val="198960A8"/>
    <w:rsid w:val="19917E03"/>
    <w:rsid w:val="19B17258"/>
    <w:rsid w:val="19C34395"/>
    <w:rsid w:val="19C420D9"/>
    <w:rsid w:val="19C470DB"/>
    <w:rsid w:val="19D54172"/>
    <w:rsid w:val="19EC3B22"/>
    <w:rsid w:val="19F71A3D"/>
    <w:rsid w:val="1A1963D5"/>
    <w:rsid w:val="1A1B31E6"/>
    <w:rsid w:val="1A205B1B"/>
    <w:rsid w:val="1A292AD5"/>
    <w:rsid w:val="1A593A6D"/>
    <w:rsid w:val="1A85622F"/>
    <w:rsid w:val="1A950227"/>
    <w:rsid w:val="1AA232AC"/>
    <w:rsid w:val="1AE16790"/>
    <w:rsid w:val="1AEA0B81"/>
    <w:rsid w:val="1AF838AC"/>
    <w:rsid w:val="1B001D4D"/>
    <w:rsid w:val="1B3C313F"/>
    <w:rsid w:val="1B643EED"/>
    <w:rsid w:val="1B755719"/>
    <w:rsid w:val="1BA66C5F"/>
    <w:rsid w:val="1BAE7C15"/>
    <w:rsid w:val="1BB3240E"/>
    <w:rsid w:val="1BBC3A6A"/>
    <w:rsid w:val="1BDF4751"/>
    <w:rsid w:val="1BF275D0"/>
    <w:rsid w:val="1C1E6E66"/>
    <w:rsid w:val="1C233E84"/>
    <w:rsid w:val="1C35511C"/>
    <w:rsid w:val="1C630085"/>
    <w:rsid w:val="1C775121"/>
    <w:rsid w:val="1CF350B8"/>
    <w:rsid w:val="1CFF70EF"/>
    <w:rsid w:val="1D402A9E"/>
    <w:rsid w:val="1D4C5F5D"/>
    <w:rsid w:val="1D4E29EB"/>
    <w:rsid w:val="1D5532E4"/>
    <w:rsid w:val="1D643E94"/>
    <w:rsid w:val="1D6975CC"/>
    <w:rsid w:val="1DB2518E"/>
    <w:rsid w:val="1DC81B6B"/>
    <w:rsid w:val="1DEF7F1B"/>
    <w:rsid w:val="1DF07C9F"/>
    <w:rsid w:val="1DF655C9"/>
    <w:rsid w:val="1DF90007"/>
    <w:rsid w:val="1E2228C9"/>
    <w:rsid w:val="1E2E18A1"/>
    <w:rsid w:val="1E4610AA"/>
    <w:rsid w:val="1E4A757B"/>
    <w:rsid w:val="1E567EE2"/>
    <w:rsid w:val="1E570577"/>
    <w:rsid w:val="1E635B5A"/>
    <w:rsid w:val="1E696991"/>
    <w:rsid w:val="1E784015"/>
    <w:rsid w:val="1E83347E"/>
    <w:rsid w:val="1E88574C"/>
    <w:rsid w:val="1E950CDB"/>
    <w:rsid w:val="1E9712FD"/>
    <w:rsid w:val="1EA41415"/>
    <w:rsid w:val="1EB27217"/>
    <w:rsid w:val="1EB37E52"/>
    <w:rsid w:val="1EC16131"/>
    <w:rsid w:val="1EC962D3"/>
    <w:rsid w:val="1ED11F31"/>
    <w:rsid w:val="1EDC1049"/>
    <w:rsid w:val="1EDC730E"/>
    <w:rsid w:val="1EF50466"/>
    <w:rsid w:val="1EF56327"/>
    <w:rsid w:val="1F010521"/>
    <w:rsid w:val="1F0216CA"/>
    <w:rsid w:val="1F081E12"/>
    <w:rsid w:val="1F491C1D"/>
    <w:rsid w:val="1F4A55A8"/>
    <w:rsid w:val="1F5D35F5"/>
    <w:rsid w:val="1F637E0E"/>
    <w:rsid w:val="1F890765"/>
    <w:rsid w:val="1F9C4BE6"/>
    <w:rsid w:val="1FC1242E"/>
    <w:rsid w:val="1FC46891"/>
    <w:rsid w:val="1FE7199E"/>
    <w:rsid w:val="1FEF27C5"/>
    <w:rsid w:val="20065F9A"/>
    <w:rsid w:val="2009129A"/>
    <w:rsid w:val="20093E5D"/>
    <w:rsid w:val="202B4A4B"/>
    <w:rsid w:val="20427C09"/>
    <w:rsid w:val="204C642D"/>
    <w:rsid w:val="20575BB7"/>
    <w:rsid w:val="206F68F1"/>
    <w:rsid w:val="207244A9"/>
    <w:rsid w:val="20920378"/>
    <w:rsid w:val="209D3FEF"/>
    <w:rsid w:val="209E41D2"/>
    <w:rsid w:val="20A506DE"/>
    <w:rsid w:val="20D779DE"/>
    <w:rsid w:val="20F54D0D"/>
    <w:rsid w:val="21335475"/>
    <w:rsid w:val="21510CF7"/>
    <w:rsid w:val="216162E4"/>
    <w:rsid w:val="21761247"/>
    <w:rsid w:val="21772B83"/>
    <w:rsid w:val="21A46CDD"/>
    <w:rsid w:val="21B97670"/>
    <w:rsid w:val="21E13994"/>
    <w:rsid w:val="21EA2C61"/>
    <w:rsid w:val="21FC62F2"/>
    <w:rsid w:val="21FD7603"/>
    <w:rsid w:val="220364D9"/>
    <w:rsid w:val="2206426E"/>
    <w:rsid w:val="220D4533"/>
    <w:rsid w:val="222463D5"/>
    <w:rsid w:val="222C13C2"/>
    <w:rsid w:val="222C4A81"/>
    <w:rsid w:val="22503C12"/>
    <w:rsid w:val="22546B5D"/>
    <w:rsid w:val="22552720"/>
    <w:rsid w:val="225C6357"/>
    <w:rsid w:val="226C09F4"/>
    <w:rsid w:val="22733872"/>
    <w:rsid w:val="22767E75"/>
    <w:rsid w:val="22B833B9"/>
    <w:rsid w:val="22C0333E"/>
    <w:rsid w:val="22F53C8D"/>
    <w:rsid w:val="230218D6"/>
    <w:rsid w:val="23287FB9"/>
    <w:rsid w:val="23344599"/>
    <w:rsid w:val="23384265"/>
    <w:rsid w:val="234B53D5"/>
    <w:rsid w:val="236A6215"/>
    <w:rsid w:val="237651AD"/>
    <w:rsid w:val="23961AB8"/>
    <w:rsid w:val="23A34087"/>
    <w:rsid w:val="23DB20EA"/>
    <w:rsid w:val="23E42236"/>
    <w:rsid w:val="23F202EC"/>
    <w:rsid w:val="23FF2A92"/>
    <w:rsid w:val="24185D0B"/>
    <w:rsid w:val="241C3EF0"/>
    <w:rsid w:val="241D5D7A"/>
    <w:rsid w:val="243C7026"/>
    <w:rsid w:val="24721C02"/>
    <w:rsid w:val="247B35BD"/>
    <w:rsid w:val="24852E7E"/>
    <w:rsid w:val="24A071B0"/>
    <w:rsid w:val="24DC4818"/>
    <w:rsid w:val="24DC7B4B"/>
    <w:rsid w:val="24DE08B9"/>
    <w:rsid w:val="24FE1E2E"/>
    <w:rsid w:val="251505D3"/>
    <w:rsid w:val="25157500"/>
    <w:rsid w:val="251E7FFD"/>
    <w:rsid w:val="251F42E1"/>
    <w:rsid w:val="2527792A"/>
    <w:rsid w:val="253C5783"/>
    <w:rsid w:val="253D3ED0"/>
    <w:rsid w:val="2550324B"/>
    <w:rsid w:val="25694031"/>
    <w:rsid w:val="256A4DEB"/>
    <w:rsid w:val="25890E7B"/>
    <w:rsid w:val="258F7140"/>
    <w:rsid w:val="259023CE"/>
    <w:rsid w:val="25904C87"/>
    <w:rsid w:val="259F1096"/>
    <w:rsid w:val="25A1045C"/>
    <w:rsid w:val="25A472D8"/>
    <w:rsid w:val="25BA348D"/>
    <w:rsid w:val="25BC18CF"/>
    <w:rsid w:val="25C40645"/>
    <w:rsid w:val="25D15822"/>
    <w:rsid w:val="25DC790F"/>
    <w:rsid w:val="25DE5E07"/>
    <w:rsid w:val="25E3017F"/>
    <w:rsid w:val="25E35B8B"/>
    <w:rsid w:val="25F331DE"/>
    <w:rsid w:val="2603068A"/>
    <w:rsid w:val="26092F74"/>
    <w:rsid w:val="26217BCF"/>
    <w:rsid w:val="262201D0"/>
    <w:rsid w:val="26272471"/>
    <w:rsid w:val="262A0DE8"/>
    <w:rsid w:val="263F4642"/>
    <w:rsid w:val="263F5BA4"/>
    <w:rsid w:val="26466F14"/>
    <w:rsid w:val="2651535E"/>
    <w:rsid w:val="2669364B"/>
    <w:rsid w:val="2672033D"/>
    <w:rsid w:val="267D4AB2"/>
    <w:rsid w:val="26A20F70"/>
    <w:rsid w:val="26A25CFA"/>
    <w:rsid w:val="26B81246"/>
    <w:rsid w:val="26BD2EB0"/>
    <w:rsid w:val="26C960A0"/>
    <w:rsid w:val="26CF532F"/>
    <w:rsid w:val="26E17F34"/>
    <w:rsid w:val="272807E3"/>
    <w:rsid w:val="27447824"/>
    <w:rsid w:val="274E5D16"/>
    <w:rsid w:val="276250A7"/>
    <w:rsid w:val="27634653"/>
    <w:rsid w:val="276A7198"/>
    <w:rsid w:val="277A6BBC"/>
    <w:rsid w:val="277B1108"/>
    <w:rsid w:val="27870405"/>
    <w:rsid w:val="27915163"/>
    <w:rsid w:val="279F01B2"/>
    <w:rsid w:val="27BA066D"/>
    <w:rsid w:val="27D857FB"/>
    <w:rsid w:val="284D508E"/>
    <w:rsid w:val="284E140A"/>
    <w:rsid w:val="285F3CEA"/>
    <w:rsid w:val="289F6DDB"/>
    <w:rsid w:val="28C914A8"/>
    <w:rsid w:val="28E1641E"/>
    <w:rsid w:val="292A511A"/>
    <w:rsid w:val="295A4D5A"/>
    <w:rsid w:val="295C6E37"/>
    <w:rsid w:val="296F1A7D"/>
    <w:rsid w:val="297455E7"/>
    <w:rsid w:val="298914F5"/>
    <w:rsid w:val="29926952"/>
    <w:rsid w:val="29A000FB"/>
    <w:rsid w:val="29AF031D"/>
    <w:rsid w:val="29B43850"/>
    <w:rsid w:val="29C20545"/>
    <w:rsid w:val="29D162D2"/>
    <w:rsid w:val="29D446E0"/>
    <w:rsid w:val="29F12369"/>
    <w:rsid w:val="2A37753A"/>
    <w:rsid w:val="2A404749"/>
    <w:rsid w:val="2A4775DA"/>
    <w:rsid w:val="2A642431"/>
    <w:rsid w:val="2A68552B"/>
    <w:rsid w:val="2A6D4BBA"/>
    <w:rsid w:val="2A6E08F9"/>
    <w:rsid w:val="2A7F7BAD"/>
    <w:rsid w:val="2ABD72FC"/>
    <w:rsid w:val="2ACF3EEC"/>
    <w:rsid w:val="2ADC7E6C"/>
    <w:rsid w:val="2AF32CB1"/>
    <w:rsid w:val="2B036E4E"/>
    <w:rsid w:val="2B342B1D"/>
    <w:rsid w:val="2B4512C5"/>
    <w:rsid w:val="2B483312"/>
    <w:rsid w:val="2B6C6D7B"/>
    <w:rsid w:val="2B8D4E34"/>
    <w:rsid w:val="2B9B3349"/>
    <w:rsid w:val="2BA62679"/>
    <w:rsid w:val="2BD317D0"/>
    <w:rsid w:val="2BE3588C"/>
    <w:rsid w:val="2BED7083"/>
    <w:rsid w:val="2C002405"/>
    <w:rsid w:val="2C0847CD"/>
    <w:rsid w:val="2C0857BD"/>
    <w:rsid w:val="2C183C58"/>
    <w:rsid w:val="2C2A381F"/>
    <w:rsid w:val="2C420AE5"/>
    <w:rsid w:val="2C5D518E"/>
    <w:rsid w:val="2C791BC6"/>
    <w:rsid w:val="2C8574EB"/>
    <w:rsid w:val="2C9E44A6"/>
    <w:rsid w:val="2CCF0721"/>
    <w:rsid w:val="2CE53636"/>
    <w:rsid w:val="2CF977B0"/>
    <w:rsid w:val="2D071453"/>
    <w:rsid w:val="2D1F5F28"/>
    <w:rsid w:val="2D323750"/>
    <w:rsid w:val="2D531A8F"/>
    <w:rsid w:val="2D8665A7"/>
    <w:rsid w:val="2D9B7E47"/>
    <w:rsid w:val="2DC410BA"/>
    <w:rsid w:val="2DCF7387"/>
    <w:rsid w:val="2DE40DF4"/>
    <w:rsid w:val="2DF550AA"/>
    <w:rsid w:val="2E004453"/>
    <w:rsid w:val="2E2B7019"/>
    <w:rsid w:val="2E422940"/>
    <w:rsid w:val="2E5E37DD"/>
    <w:rsid w:val="2EA461FB"/>
    <w:rsid w:val="2EA6049B"/>
    <w:rsid w:val="2EAF438B"/>
    <w:rsid w:val="2EBE5A96"/>
    <w:rsid w:val="2EFF45E0"/>
    <w:rsid w:val="2EFF6E3C"/>
    <w:rsid w:val="2F054CDA"/>
    <w:rsid w:val="2F102064"/>
    <w:rsid w:val="2F121983"/>
    <w:rsid w:val="2F151F35"/>
    <w:rsid w:val="2F4B65F6"/>
    <w:rsid w:val="2F4B7181"/>
    <w:rsid w:val="2F5B7967"/>
    <w:rsid w:val="2F786947"/>
    <w:rsid w:val="2F946454"/>
    <w:rsid w:val="2FB160CE"/>
    <w:rsid w:val="2FB53E3E"/>
    <w:rsid w:val="2FB64AB7"/>
    <w:rsid w:val="2FD04782"/>
    <w:rsid w:val="2FD616B2"/>
    <w:rsid w:val="2FD97A65"/>
    <w:rsid w:val="2FDD5E37"/>
    <w:rsid w:val="2FE74A9C"/>
    <w:rsid w:val="2FED24A5"/>
    <w:rsid w:val="2FFF517C"/>
    <w:rsid w:val="300F78EC"/>
    <w:rsid w:val="30167D79"/>
    <w:rsid w:val="30654E3C"/>
    <w:rsid w:val="30736242"/>
    <w:rsid w:val="30877367"/>
    <w:rsid w:val="309F0474"/>
    <w:rsid w:val="30BE58B1"/>
    <w:rsid w:val="30D75E2B"/>
    <w:rsid w:val="30E6632B"/>
    <w:rsid w:val="30EE16AE"/>
    <w:rsid w:val="30F20ACE"/>
    <w:rsid w:val="31163A7E"/>
    <w:rsid w:val="3124480B"/>
    <w:rsid w:val="312549F1"/>
    <w:rsid w:val="313566C1"/>
    <w:rsid w:val="31636209"/>
    <w:rsid w:val="31642A54"/>
    <w:rsid w:val="31AA13D5"/>
    <w:rsid w:val="31EC16B3"/>
    <w:rsid w:val="31FF1464"/>
    <w:rsid w:val="322D2F4A"/>
    <w:rsid w:val="3253625C"/>
    <w:rsid w:val="325D00EB"/>
    <w:rsid w:val="326323F9"/>
    <w:rsid w:val="3292247F"/>
    <w:rsid w:val="329A11C3"/>
    <w:rsid w:val="32BA553B"/>
    <w:rsid w:val="32D42B87"/>
    <w:rsid w:val="32E90451"/>
    <w:rsid w:val="32FA6BE3"/>
    <w:rsid w:val="331C4357"/>
    <w:rsid w:val="332D21D8"/>
    <w:rsid w:val="333A4E82"/>
    <w:rsid w:val="33440FEE"/>
    <w:rsid w:val="33492C42"/>
    <w:rsid w:val="334D1E01"/>
    <w:rsid w:val="33511092"/>
    <w:rsid w:val="335E3E3F"/>
    <w:rsid w:val="335F0B53"/>
    <w:rsid w:val="335F2CC1"/>
    <w:rsid w:val="3383421F"/>
    <w:rsid w:val="33A10A8A"/>
    <w:rsid w:val="33B252D6"/>
    <w:rsid w:val="33C14182"/>
    <w:rsid w:val="33D03B1F"/>
    <w:rsid w:val="33D67C6F"/>
    <w:rsid w:val="33E81C02"/>
    <w:rsid w:val="33EB7A9A"/>
    <w:rsid w:val="33FF2A07"/>
    <w:rsid w:val="3414038B"/>
    <w:rsid w:val="34291509"/>
    <w:rsid w:val="343E6FAF"/>
    <w:rsid w:val="343F5051"/>
    <w:rsid w:val="344356CD"/>
    <w:rsid w:val="34445A5C"/>
    <w:rsid w:val="344567A9"/>
    <w:rsid w:val="346B6651"/>
    <w:rsid w:val="34714951"/>
    <w:rsid w:val="347962F4"/>
    <w:rsid w:val="347C2125"/>
    <w:rsid w:val="3499394B"/>
    <w:rsid w:val="349A3260"/>
    <w:rsid w:val="34C171E2"/>
    <w:rsid w:val="34CD77B4"/>
    <w:rsid w:val="34E81760"/>
    <w:rsid w:val="34FA123B"/>
    <w:rsid w:val="35054C42"/>
    <w:rsid w:val="3520348C"/>
    <w:rsid w:val="352C19E9"/>
    <w:rsid w:val="356962C7"/>
    <w:rsid w:val="357C010A"/>
    <w:rsid w:val="3597426B"/>
    <w:rsid w:val="35AB3437"/>
    <w:rsid w:val="35B15E06"/>
    <w:rsid w:val="35D824C0"/>
    <w:rsid w:val="35E7120B"/>
    <w:rsid w:val="3605014B"/>
    <w:rsid w:val="360F33EE"/>
    <w:rsid w:val="360F768F"/>
    <w:rsid w:val="36347B1A"/>
    <w:rsid w:val="364B7675"/>
    <w:rsid w:val="366120E4"/>
    <w:rsid w:val="3665452C"/>
    <w:rsid w:val="368D3AEB"/>
    <w:rsid w:val="368E0242"/>
    <w:rsid w:val="36966586"/>
    <w:rsid w:val="36A6051E"/>
    <w:rsid w:val="36CA6FA1"/>
    <w:rsid w:val="36DA5B57"/>
    <w:rsid w:val="37083691"/>
    <w:rsid w:val="371D0516"/>
    <w:rsid w:val="3733444D"/>
    <w:rsid w:val="3740486F"/>
    <w:rsid w:val="37562B20"/>
    <w:rsid w:val="3761442C"/>
    <w:rsid w:val="376A5CE6"/>
    <w:rsid w:val="376F7783"/>
    <w:rsid w:val="377B71F5"/>
    <w:rsid w:val="37822166"/>
    <w:rsid w:val="37997559"/>
    <w:rsid w:val="379B095A"/>
    <w:rsid w:val="379D40C4"/>
    <w:rsid w:val="37AE4A95"/>
    <w:rsid w:val="37AE7F90"/>
    <w:rsid w:val="37B355F0"/>
    <w:rsid w:val="37CF4B69"/>
    <w:rsid w:val="38207388"/>
    <w:rsid w:val="3822259A"/>
    <w:rsid w:val="383B267E"/>
    <w:rsid w:val="386B380E"/>
    <w:rsid w:val="3891492F"/>
    <w:rsid w:val="38B41030"/>
    <w:rsid w:val="38C13E1E"/>
    <w:rsid w:val="38C35693"/>
    <w:rsid w:val="38CE2BBB"/>
    <w:rsid w:val="38DD71FB"/>
    <w:rsid w:val="38FE5C2A"/>
    <w:rsid w:val="39247A74"/>
    <w:rsid w:val="39642B5A"/>
    <w:rsid w:val="39647643"/>
    <w:rsid w:val="39654833"/>
    <w:rsid w:val="396E453C"/>
    <w:rsid w:val="39717500"/>
    <w:rsid w:val="39A16ECA"/>
    <w:rsid w:val="39AA5CB3"/>
    <w:rsid w:val="39C272ED"/>
    <w:rsid w:val="39F13DDF"/>
    <w:rsid w:val="39FA4695"/>
    <w:rsid w:val="3A0F25D0"/>
    <w:rsid w:val="3A160931"/>
    <w:rsid w:val="3A2626F0"/>
    <w:rsid w:val="3A446CDF"/>
    <w:rsid w:val="3A555334"/>
    <w:rsid w:val="3A600C68"/>
    <w:rsid w:val="3A60660E"/>
    <w:rsid w:val="3A6976E6"/>
    <w:rsid w:val="3AA907D4"/>
    <w:rsid w:val="3ABB41C2"/>
    <w:rsid w:val="3AC8332F"/>
    <w:rsid w:val="3ACD57DF"/>
    <w:rsid w:val="3ADB5B94"/>
    <w:rsid w:val="3ADB7005"/>
    <w:rsid w:val="3AE94DCD"/>
    <w:rsid w:val="3AF01512"/>
    <w:rsid w:val="3B0E618B"/>
    <w:rsid w:val="3B197F0E"/>
    <w:rsid w:val="3B276E44"/>
    <w:rsid w:val="3B4C6233"/>
    <w:rsid w:val="3B54139C"/>
    <w:rsid w:val="3B763ABD"/>
    <w:rsid w:val="3B961BE8"/>
    <w:rsid w:val="3BBB72F9"/>
    <w:rsid w:val="3BD2009F"/>
    <w:rsid w:val="3BF74D0A"/>
    <w:rsid w:val="3BFA70F4"/>
    <w:rsid w:val="3C082EA4"/>
    <w:rsid w:val="3C10067B"/>
    <w:rsid w:val="3C2F5239"/>
    <w:rsid w:val="3C387F10"/>
    <w:rsid w:val="3C4E58E9"/>
    <w:rsid w:val="3C4F64C4"/>
    <w:rsid w:val="3C6C27B7"/>
    <w:rsid w:val="3C6E2B7E"/>
    <w:rsid w:val="3C8630D7"/>
    <w:rsid w:val="3C8835F3"/>
    <w:rsid w:val="3CB90D68"/>
    <w:rsid w:val="3CCA2241"/>
    <w:rsid w:val="3CCB7DB8"/>
    <w:rsid w:val="3CDA589A"/>
    <w:rsid w:val="3CEA6BE2"/>
    <w:rsid w:val="3CF5054A"/>
    <w:rsid w:val="3D06664A"/>
    <w:rsid w:val="3D0F272C"/>
    <w:rsid w:val="3D2A15B6"/>
    <w:rsid w:val="3D2C21F0"/>
    <w:rsid w:val="3D5A6537"/>
    <w:rsid w:val="3D6023B7"/>
    <w:rsid w:val="3D646F89"/>
    <w:rsid w:val="3D6635D0"/>
    <w:rsid w:val="3D6D20DE"/>
    <w:rsid w:val="3D895DBF"/>
    <w:rsid w:val="3D902C0D"/>
    <w:rsid w:val="3DC14A1D"/>
    <w:rsid w:val="3DF96401"/>
    <w:rsid w:val="3E0F24C8"/>
    <w:rsid w:val="3E1D4796"/>
    <w:rsid w:val="3E455633"/>
    <w:rsid w:val="3E525A24"/>
    <w:rsid w:val="3E582F7D"/>
    <w:rsid w:val="3E654E52"/>
    <w:rsid w:val="3E8072A2"/>
    <w:rsid w:val="3E925BB1"/>
    <w:rsid w:val="3EB219E2"/>
    <w:rsid w:val="3EBC3708"/>
    <w:rsid w:val="3EC42879"/>
    <w:rsid w:val="3ED107E5"/>
    <w:rsid w:val="3EDF3528"/>
    <w:rsid w:val="3EE64C4E"/>
    <w:rsid w:val="3F5433A7"/>
    <w:rsid w:val="3F955B54"/>
    <w:rsid w:val="3F9B33A7"/>
    <w:rsid w:val="3F9F0B6B"/>
    <w:rsid w:val="3FDE1DE6"/>
    <w:rsid w:val="3FF3738A"/>
    <w:rsid w:val="3FF45307"/>
    <w:rsid w:val="3FF55D83"/>
    <w:rsid w:val="40105BE0"/>
    <w:rsid w:val="401E1390"/>
    <w:rsid w:val="402F7D36"/>
    <w:rsid w:val="4048250D"/>
    <w:rsid w:val="404A38B4"/>
    <w:rsid w:val="405352F1"/>
    <w:rsid w:val="409C70FB"/>
    <w:rsid w:val="40A32263"/>
    <w:rsid w:val="40B24D53"/>
    <w:rsid w:val="410751CF"/>
    <w:rsid w:val="410B743A"/>
    <w:rsid w:val="41115A7E"/>
    <w:rsid w:val="411A0376"/>
    <w:rsid w:val="411B4056"/>
    <w:rsid w:val="411F01E8"/>
    <w:rsid w:val="411F7FBC"/>
    <w:rsid w:val="412D0B1D"/>
    <w:rsid w:val="41470B6F"/>
    <w:rsid w:val="416B55E1"/>
    <w:rsid w:val="416C752D"/>
    <w:rsid w:val="416F3459"/>
    <w:rsid w:val="41782C63"/>
    <w:rsid w:val="41D36D67"/>
    <w:rsid w:val="41E7683F"/>
    <w:rsid w:val="420C0779"/>
    <w:rsid w:val="422F5AC3"/>
    <w:rsid w:val="422F6BC5"/>
    <w:rsid w:val="422F7340"/>
    <w:rsid w:val="4246558F"/>
    <w:rsid w:val="42545D52"/>
    <w:rsid w:val="429768F1"/>
    <w:rsid w:val="42AB3E1D"/>
    <w:rsid w:val="42AF06A6"/>
    <w:rsid w:val="42C70648"/>
    <w:rsid w:val="430669FC"/>
    <w:rsid w:val="431F0C25"/>
    <w:rsid w:val="432E6024"/>
    <w:rsid w:val="434F6087"/>
    <w:rsid w:val="434F7363"/>
    <w:rsid w:val="437B5D6D"/>
    <w:rsid w:val="439502CE"/>
    <w:rsid w:val="43A84A86"/>
    <w:rsid w:val="43B026FE"/>
    <w:rsid w:val="43DB5D1A"/>
    <w:rsid w:val="43EE30D0"/>
    <w:rsid w:val="442F0427"/>
    <w:rsid w:val="444D4454"/>
    <w:rsid w:val="44604692"/>
    <w:rsid w:val="44655E49"/>
    <w:rsid w:val="44773DAC"/>
    <w:rsid w:val="44902A33"/>
    <w:rsid w:val="44A31E03"/>
    <w:rsid w:val="44D44BA7"/>
    <w:rsid w:val="44DD7BC5"/>
    <w:rsid w:val="44F36852"/>
    <w:rsid w:val="44F91DCE"/>
    <w:rsid w:val="450154AD"/>
    <w:rsid w:val="450B2C76"/>
    <w:rsid w:val="455E1073"/>
    <w:rsid w:val="45650E24"/>
    <w:rsid w:val="45790DD3"/>
    <w:rsid w:val="4586795E"/>
    <w:rsid w:val="45C62303"/>
    <w:rsid w:val="45D040B9"/>
    <w:rsid w:val="45D869F8"/>
    <w:rsid w:val="45FC66A5"/>
    <w:rsid w:val="46075206"/>
    <w:rsid w:val="461C43D6"/>
    <w:rsid w:val="461F4737"/>
    <w:rsid w:val="462262A0"/>
    <w:rsid w:val="4659291A"/>
    <w:rsid w:val="46864992"/>
    <w:rsid w:val="46872977"/>
    <w:rsid w:val="469F01E1"/>
    <w:rsid w:val="46A07FB1"/>
    <w:rsid w:val="46AC64D8"/>
    <w:rsid w:val="46B71FE4"/>
    <w:rsid w:val="47125C07"/>
    <w:rsid w:val="47207382"/>
    <w:rsid w:val="47294706"/>
    <w:rsid w:val="472B649D"/>
    <w:rsid w:val="472B7472"/>
    <w:rsid w:val="473A1714"/>
    <w:rsid w:val="473B1FC0"/>
    <w:rsid w:val="473E4891"/>
    <w:rsid w:val="474F3759"/>
    <w:rsid w:val="47903B36"/>
    <w:rsid w:val="479A4549"/>
    <w:rsid w:val="47C3454C"/>
    <w:rsid w:val="47F7042F"/>
    <w:rsid w:val="48111F79"/>
    <w:rsid w:val="4812682B"/>
    <w:rsid w:val="48142511"/>
    <w:rsid w:val="48472D3E"/>
    <w:rsid w:val="48472F1D"/>
    <w:rsid w:val="4855435F"/>
    <w:rsid w:val="486F6C9F"/>
    <w:rsid w:val="487017DE"/>
    <w:rsid w:val="48A10C30"/>
    <w:rsid w:val="48A5298F"/>
    <w:rsid w:val="48BE33B2"/>
    <w:rsid w:val="48C83722"/>
    <w:rsid w:val="48D41224"/>
    <w:rsid w:val="48D87ACE"/>
    <w:rsid w:val="48E44E22"/>
    <w:rsid w:val="48E60E89"/>
    <w:rsid w:val="4915503E"/>
    <w:rsid w:val="492076FB"/>
    <w:rsid w:val="497A053F"/>
    <w:rsid w:val="4984787A"/>
    <w:rsid w:val="499634C5"/>
    <w:rsid w:val="499F6234"/>
    <w:rsid w:val="49A40004"/>
    <w:rsid w:val="49AC5D48"/>
    <w:rsid w:val="49D104F5"/>
    <w:rsid w:val="49D124EE"/>
    <w:rsid w:val="49E47E3E"/>
    <w:rsid w:val="4A0962EC"/>
    <w:rsid w:val="4A0C0762"/>
    <w:rsid w:val="4A120EF3"/>
    <w:rsid w:val="4A1440CB"/>
    <w:rsid w:val="4A19694A"/>
    <w:rsid w:val="4A27279C"/>
    <w:rsid w:val="4A2A7510"/>
    <w:rsid w:val="4A47658D"/>
    <w:rsid w:val="4A556AB2"/>
    <w:rsid w:val="4A5A383F"/>
    <w:rsid w:val="4A7378B7"/>
    <w:rsid w:val="4A742A84"/>
    <w:rsid w:val="4A804C86"/>
    <w:rsid w:val="4A857F7B"/>
    <w:rsid w:val="4AA31619"/>
    <w:rsid w:val="4AB04B82"/>
    <w:rsid w:val="4AB371AD"/>
    <w:rsid w:val="4AC115A1"/>
    <w:rsid w:val="4AC51D97"/>
    <w:rsid w:val="4AC56102"/>
    <w:rsid w:val="4AD52699"/>
    <w:rsid w:val="4B3052C0"/>
    <w:rsid w:val="4B5B7753"/>
    <w:rsid w:val="4B6B6513"/>
    <w:rsid w:val="4BA75F33"/>
    <w:rsid w:val="4BB543F8"/>
    <w:rsid w:val="4BC63ABA"/>
    <w:rsid w:val="4BD26EC9"/>
    <w:rsid w:val="4BE42A4E"/>
    <w:rsid w:val="4BE61DF7"/>
    <w:rsid w:val="4BEE4BF8"/>
    <w:rsid w:val="4C04299F"/>
    <w:rsid w:val="4C052BE6"/>
    <w:rsid w:val="4C0612FA"/>
    <w:rsid w:val="4C15219C"/>
    <w:rsid w:val="4C1703C0"/>
    <w:rsid w:val="4C3077E8"/>
    <w:rsid w:val="4C4E373D"/>
    <w:rsid w:val="4C6F3A2B"/>
    <w:rsid w:val="4CF00B4A"/>
    <w:rsid w:val="4D183CE3"/>
    <w:rsid w:val="4D191FF6"/>
    <w:rsid w:val="4D1D68D1"/>
    <w:rsid w:val="4D4344D7"/>
    <w:rsid w:val="4D5C22A0"/>
    <w:rsid w:val="4D725259"/>
    <w:rsid w:val="4D7B597E"/>
    <w:rsid w:val="4DB32BE1"/>
    <w:rsid w:val="4DC501B6"/>
    <w:rsid w:val="4DD10CD9"/>
    <w:rsid w:val="4DE00F8D"/>
    <w:rsid w:val="4E0D7279"/>
    <w:rsid w:val="4E164305"/>
    <w:rsid w:val="4E396C69"/>
    <w:rsid w:val="4E3A40BF"/>
    <w:rsid w:val="4E526C9B"/>
    <w:rsid w:val="4E7E6245"/>
    <w:rsid w:val="4E9505A1"/>
    <w:rsid w:val="4E9A099F"/>
    <w:rsid w:val="4E9D572B"/>
    <w:rsid w:val="4EA311F8"/>
    <w:rsid w:val="4ECE4E83"/>
    <w:rsid w:val="4ED01795"/>
    <w:rsid w:val="4ED83E5B"/>
    <w:rsid w:val="4ED95DDD"/>
    <w:rsid w:val="4EE56070"/>
    <w:rsid w:val="4F0306E8"/>
    <w:rsid w:val="4F051223"/>
    <w:rsid w:val="4F0C6F98"/>
    <w:rsid w:val="4F2A7A61"/>
    <w:rsid w:val="4F337FD5"/>
    <w:rsid w:val="4F371833"/>
    <w:rsid w:val="4F453E7B"/>
    <w:rsid w:val="4F6B4B32"/>
    <w:rsid w:val="4F7219A6"/>
    <w:rsid w:val="4F7E7F76"/>
    <w:rsid w:val="4F8C78CF"/>
    <w:rsid w:val="4FA113C5"/>
    <w:rsid w:val="4FA56150"/>
    <w:rsid w:val="4FC42444"/>
    <w:rsid w:val="4FD60D41"/>
    <w:rsid w:val="4FE32563"/>
    <w:rsid w:val="50017CE5"/>
    <w:rsid w:val="5014596B"/>
    <w:rsid w:val="5021417B"/>
    <w:rsid w:val="505652DC"/>
    <w:rsid w:val="506D75AB"/>
    <w:rsid w:val="508A026A"/>
    <w:rsid w:val="50917C37"/>
    <w:rsid w:val="50A37174"/>
    <w:rsid w:val="50C2281F"/>
    <w:rsid w:val="50C65B01"/>
    <w:rsid w:val="50C7432F"/>
    <w:rsid w:val="50E0034C"/>
    <w:rsid w:val="50E55A44"/>
    <w:rsid w:val="50EA78F0"/>
    <w:rsid w:val="50F37C43"/>
    <w:rsid w:val="511E70B0"/>
    <w:rsid w:val="51242D25"/>
    <w:rsid w:val="5126276E"/>
    <w:rsid w:val="513E0A1A"/>
    <w:rsid w:val="51451E40"/>
    <w:rsid w:val="514921A8"/>
    <w:rsid w:val="514B6890"/>
    <w:rsid w:val="51535C99"/>
    <w:rsid w:val="5154034B"/>
    <w:rsid w:val="515A3778"/>
    <w:rsid w:val="516C3696"/>
    <w:rsid w:val="51760E5F"/>
    <w:rsid w:val="517E7046"/>
    <w:rsid w:val="518E00FC"/>
    <w:rsid w:val="51933575"/>
    <w:rsid w:val="51B0168B"/>
    <w:rsid w:val="51C067CA"/>
    <w:rsid w:val="51DF5B25"/>
    <w:rsid w:val="51ED77D2"/>
    <w:rsid w:val="51F1167A"/>
    <w:rsid w:val="521049F0"/>
    <w:rsid w:val="526F7FB3"/>
    <w:rsid w:val="527243EB"/>
    <w:rsid w:val="52930E01"/>
    <w:rsid w:val="529665E6"/>
    <w:rsid w:val="52B06731"/>
    <w:rsid w:val="52B60382"/>
    <w:rsid w:val="52D23DBC"/>
    <w:rsid w:val="52DD343C"/>
    <w:rsid w:val="52F87D2A"/>
    <w:rsid w:val="52F90C1C"/>
    <w:rsid w:val="530B7793"/>
    <w:rsid w:val="5321353F"/>
    <w:rsid w:val="53222EE7"/>
    <w:rsid w:val="534D765A"/>
    <w:rsid w:val="53540114"/>
    <w:rsid w:val="535A33DA"/>
    <w:rsid w:val="536330FA"/>
    <w:rsid w:val="537970D0"/>
    <w:rsid w:val="539868E0"/>
    <w:rsid w:val="53A47969"/>
    <w:rsid w:val="53BF0089"/>
    <w:rsid w:val="53CE29D1"/>
    <w:rsid w:val="53D94E9F"/>
    <w:rsid w:val="53DB17B9"/>
    <w:rsid w:val="53E5129E"/>
    <w:rsid w:val="54057C58"/>
    <w:rsid w:val="541F1749"/>
    <w:rsid w:val="542C167C"/>
    <w:rsid w:val="54482DD1"/>
    <w:rsid w:val="5455474D"/>
    <w:rsid w:val="545B7AC0"/>
    <w:rsid w:val="54694DFB"/>
    <w:rsid w:val="546F29D4"/>
    <w:rsid w:val="54953F82"/>
    <w:rsid w:val="54C0542F"/>
    <w:rsid w:val="54D107E9"/>
    <w:rsid w:val="54E90BFD"/>
    <w:rsid w:val="54E96A18"/>
    <w:rsid w:val="54F56BB2"/>
    <w:rsid w:val="54FF61BE"/>
    <w:rsid w:val="55041307"/>
    <w:rsid w:val="551576AA"/>
    <w:rsid w:val="55212B67"/>
    <w:rsid w:val="552140EA"/>
    <w:rsid w:val="55226D5D"/>
    <w:rsid w:val="553111D9"/>
    <w:rsid w:val="556E3124"/>
    <w:rsid w:val="55766B43"/>
    <w:rsid w:val="55856D6F"/>
    <w:rsid w:val="558C043F"/>
    <w:rsid w:val="55926B10"/>
    <w:rsid w:val="55A5580E"/>
    <w:rsid w:val="55AE03B4"/>
    <w:rsid w:val="55AE5676"/>
    <w:rsid w:val="55B82D7F"/>
    <w:rsid w:val="55E50ACF"/>
    <w:rsid w:val="56030522"/>
    <w:rsid w:val="560D5972"/>
    <w:rsid w:val="560E402E"/>
    <w:rsid w:val="561340C5"/>
    <w:rsid w:val="561E5DFF"/>
    <w:rsid w:val="563445A6"/>
    <w:rsid w:val="56417D7F"/>
    <w:rsid w:val="564B2284"/>
    <w:rsid w:val="564D6DB6"/>
    <w:rsid w:val="56593C87"/>
    <w:rsid w:val="56603854"/>
    <w:rsid w:val="56791F7B"/>
    <w:rsid w:val="56821236"/>
    <w:rsid w:val="568B2BB9"/>
    <w:rsid w:val="568B3F73"/>
    <w:rsid w:val="56B2171A"/>
    <w:rsid w:val="56EC370C"/>
    <w:rsid w:val="56F30601"/>
    <w:rsid w:val="57191EDF"/>
    <w:rsid w:val="57233DEA"/>
    <w:rsid w:val="5739000A"/>
    <w:rsid w:val="5745756B"/>
    <w:rsid w:val="576A4F6C"/>
    <w:rsid w:val="57781196"/>
    <w:rsid w:val="57790029"/>
    <w:rsid w:val="578879F4"/>
    <w:rsid w:val="578B66F5"/>
    <w:rsid w:val="57AD0601"/>
    <w:rsid w:val="57AF03E7"/>
    <w:rsid w:val="57BF1EB9"/>
    <w:rsid w:val="57E179DE"/>
    <w:rsid w:val="58147FB5"/>
    <w:rsid w:val="582A31CF"/>
    <w:rsid w:val="584B5D73"/>
    <w:rsid w:val="58695CD2"/>
    <w:rsid w:val="58773154"/>
    <w:rsid w:val="58A93D34"/>
    <w:rsid w:val="58B227FD"/>
    <w:rsid w:val="58B31895"/>
    <w:rsid w:val="58D10769"/>
    <w:rsid w:val="58F343AF"/>
    <w:rsid w:val="58F447CF"/>
    <w:rsid w:val="58F45B87"/>
    <w:rsid w:val="59030F12"/>
    <w:rsid w:val="590B0873"/>
    <w:rsid w:val="595E4CA8"/>
    <w:rsid w:val="596032B2"/>
    <w:rsid w:val="596E1588"/>
    <w:rsid w:val="598A148C"/>
    <w:rsid w:val="59A1345E"/>
    <w:rsid w:val="59C35227"/>
    <w:rsid w:val="59D07F49"/>
    <w:rsid w:val="59D15162"/>
    <w:rsid w:val="59F97C29"/>
    <w:rsid w:val="59FF2E55"/>
    <w:rsid w:val="5A326091"/>
    <w:rsid w:val="5A3327B9"/>
    <w:rsid w:val="5A443352"/>
    <w:rsid w:val="5A7051F2"/>
    <w:rsid w:val="5AA62FCE"/>
    <w:rsid w:val="5AAF49D1"/>
    <w:rsid w:val="5AC079AA"/>
    <w:rsid w:val="5ACB139C"/>
    <w:rsid w:val="5AD30371"/>
    <w:rsid w:val="5AF76D2D"/>
    <w:rsid w:val="5B005206"/>
    <w:rsid w:val="5B010B39"/>
    <w:rsid w:val="5B296D42"/>
    <w:rsid w:val="5B451FEF"/>
    <w:rsid w:val="5B48398F"/>
    <w:rsid w:val="5B48782C"/>
    <w:rsid w:val="5B492F9F"/>
    <w:rsid w:val="5B5733CF"/>
    <w:rsid w:val="5B634A59"/>
    <w:rsid w:val="5B686C87"/>
    <w:rsid w:val="5B727A30"/>
    <w:rsid w:val="5B7412EA"/>
    <w:rsid w:val="5B7F7608"/>
    <w:rsid w:val="5B9F7870"/>
    <w:rsid w:val="5BA94C3A"/>
    <w:rsid w:val="5BD2472B"/>
    <w:rsid w:val="5C353D5D"/>
    <w:rsid w:val="5C672B7B"/>
    <w:rsid w:val="5C6C4340"/>
    <w:rsid w:val="5C896A93"/>
    <w:rsid w:val="5CCA20E7"/>
    <w:rsid w:val="5CCC25C6"/>
    <w:rsid w:val="5CF00256"/>
    <w:rsid w:val="5D310147"/>
    <w:rsid w:val="5D311396"/>
    <w:rsid w:val="5D3E462A"/>
    <w:rsid w:val="5D3F0FE2"/>
    <w:rsid w:val="5D492DFF"/>
    <w:rsid w:val="5D88422D"/>
    <w:rsid w:val="5D965109"/>
    <w:rsid w:val="5DBC5392"/>
    <w:rsid w:val="5DC52873"/>
    <w:rsid w:val="5DC707E3"/>
    <w:rsid w:val="5DD34B2A"/>
    <w:rsid w:val="5DE03DDF"/>
    <w:rsid w:val="5DF61D94"/>
    <w:rsid w:val="5E014DED"/>
    <w:rsid w:val="5E0C6F7F"/>
    <w:rsid w:val="5E125043"/>
    <w:rsid w:val="5E300533"/>
    <w:rsid w:val="5E3A3904"/>
    <w:rsid w:val="5E476791"/>
    <w:rsid w:val="5E756789"/>
    <w:rsid w:val="5E9A6C52"/>
    <w:rsid w:val="5EAE4023"/>
    <w:rsid w:val="5ED701AB"/>
    <w:rsid w:val="5F046725"/>
    <w:rsid w:val="5F24793A"/>
    <w:rsid w:val="5F657D44"/>
    <w:rsid w:val="5F990E8A"/>
    <w:rsid w:val="5FB6646F"/>
    <w:rsid w:val="5FC73304"/>
    <w:rsid w:val="5FD86BAD"/>
    <w:rsid w:val="5FDA5E1F"/>
    <w:rsid w:val="5FE27189"/>
    <w:rsid w:val="5FE27E1D"/>
    <w:rsid w:val="5FE50020"/>
    <w:rsid w:val="5FE9458D"/>
    <w:rsid w:val="5FF21794"/>
    <w:rsid w:val="5FF83DE3"/>
    <w:rsid w:val="60006363"/>
    <w:rsid w:val="600E5B1E"/>
    <w:rsid w:val="603029C5"/>
    <w:rsid w:val="6042451C"/>
    <w:rsid w:val="60533814"/>
    <w:rsid w:val="60661241"/>
    <w:rsid w:val="60715F9E"/>
    <w:rsid w:val="609551E5"/>
    <w:rsid w:val="60A5404A"/>
    <w:rsid w:val="60B571CB"/>
    <w:rsid w:val="60B71BC5"/>
    <w:rsid w:val="60CB2D10"/>
    <w:rsid w:val="60DC4019"/>
    <w:rsid w:val="61030396"/>
    <w:rsid w:val="6105340B"/>
    <w:rsid w:val="61186716"/>
    <w:rsid w:val="613D0F83"/>
    <w:rsid w:val="61554566"/>
    <w:rsid w:val="616B370A"/>
    <w:rsid w:val="61990045"/>
    <w:rsid w:val="619F4562"/>
    <w:rsid w:val="61AE1F72"/>
    <w:rsid w:val="61B00F6F"/>
    <w:rsid w:val="61B2100A"/>
    <w:rsid w:val="61C06715"/>
    <w:rsid w:val="61CF26E5"/>
    <w:rsid w:val="61D40795"/>
    <w:rsid w:val="61DD322C"/>
    <w:rsid w:val="6217768B"/>
    <w:rsid w:val="622F66EC"/>
    <w:rsid w:val="624E459A"/>
    <w:rsid w:val="6270318F"/>
    <w:rsid w:val="627A0608"/>
    <w:rsid w:val="627F7CFF"/>
    <w:rsid w:val="62824A1E"/>
    <w:rsid w:val="62870684"/>
    <w:rsid w:val="6296380B"/>
    <w:rsid w:val="62A77984"/>
    <w:rsid w:val="62B05E13"/>
    <w:rsid w:val="62B061AF"/>
    <w:rsid w:val="62B66449"/>
    <w:rsid w:val="62CB7305"/>
    <w:rsid w:val="62D61655"/>
    <w:rsid w:val="62E0452A"/>
    <w:rsid w:val="62E73039"/>
    <w:rsid w:val="631E0FF7"/>
    <w:rsid w:val="63243DA9"/>
    <w:rsid w:val="632F00CB"/>
    <w:rsid w:val="63394DD9"/>
    <w:rsid w:val="63457CE2"/>
    <w:rsid w:val="636A1309"/>
    <w:rsid w:val="63790B64"/>
    <w:rsid w:val="638C0F42"/>
    <w:rsid w:val="639126EF"/>
    <w:rsid w:val="63AB153A"/>
    <w:rsid w:val="63AE3DDE"/>
    <w:rsid w:val="63C74EDF"/>
    <w:rsid w:val="63CA4F0E"/>
    <w:rsid w:val="63D76796"/>
    <w:rsid w:val="63E33D62"/>
    <w:rsid w:val="641D7575"/>
    <w:rsid w:val="64206E48"/>
    <w:rsid w:val="642342BD"/>
    <w:rsid w:val="64636766"/>
    <w:rsid w:val="64797B05"/>
    <w:rsid w:val="64821F8F"/>
    <w:rsid w:val="648900C6"/>
    <w:rsid w:val="649E5B09"/>
    <w:rsid w:val="64E06555"/>
    <w:rsid w:val="64F04276"/>
    <w:rsid w:val="64F15CFD"/>
    <w:rsid w:val="65106256"/>
    <w:rsid w:val="652A26ED"/>
    <w:rsid w:val="652A735E"/>
    <w:rsid w:val="652C79DC"/>
    <w:rsid w:val="65537538"/>
    <w:rsid w:val="65573DDF"/>
    <w:rsid w:val="655F4948"/>
    <w:rsid w:val="65AB050A"/>
    <w:rsid w:val="65B93DF7"/>
    <w:rsid w:val="65E21DB9"/>
    <w:rsid w:val="65E52F80"/>
    <w:rsid w:val="660E4854"/>
    <w:rsid w:val="662325A2"/>
    <w:rsid w:val="66436E06"/>
    <w:rsid w:val="665B56F4"/>
    <w:rsid w:val="66697C63"/>
    <w:rsid w:val="666C1579"/>
    <w:rsid w:val="6698528A"/>
    <w:rsid w:val="66D65C26"/>
    <w:rsid w:val="66EE7B3A"/>
    <w:rsid w:val="671431F4"/>
    <w:rsid w:val="673A557F"/>
    <w:rsid w:val="67422F6C"/>
    <w:rsid w:val="67485F78"/>
    <w:rsid w:val="675054FB"/>
    <w:rsid w:val="67525A04"/>
    <w:rsid w:val="67563FB5"/>
    <w:rsid w:val="67584694"/>
    <w:rsid w:val="67843B66"/>
    <w:rsid w:val="67A0135D"/>
    <w:rsid w:val="67AB132F"/>
    <w:rsid w:val="67B87A05"/>
    <w:rsid w:val="67BA7A04"/>
    <w:rsid w:val="67BB0B81"/>
    <w:rsid w:val="67E85CE8"/>
    <w:rsid w:val="68244B11"/>
    <w:rsid w:val="682B2C67"/>
    <w:rsid w:val="682D584D"/>
    <w:rsid w:val="683E76B7"/>
    <w:rsid w:val="68587729"/>
    <w:rsid w:val="68982117"/>
    <w:rsid w:val="689F0CAB"/>
    <w:rsid w:val="68AE6355"/>
    <w:rsid w:val="68AF125D"/>
    <w:rsid w:val="68D4190D"/>
    <w:rsid w:val="68D4276E"/>
    <w:rsid w:val="68ED6208"/>
    <w:rsid w:val="690D76D8"/>
    <w:rsid w:val="690F602E"/>
    <w:rsid w:val="691164BA"/>
    <w:rsid w:val="693C1D4F"/>
    <w:rsid w:val="693D530D"/>
    <w:rsid w:val="69517BF2"/>
    <w:rsid w:val="695A7D6A"/>
    <w:rsid w:val="69DA2C7D"/>
    <w:rsid w:val="69DF27F8"/>
    <w:rsid w:val="69FF30F3"/>
    <w:rsid w:val="6A014FCE"/>
    <w:rsid w:val="6A01727C"/>
    <w:rsid w:val="6A174B3C"/>
    <w:rsid w:val="6A324B39"/>
    <w:rsid w:val="6A4B72F5"/>
    <w:rsid w:val="6A4F649D"/>
    <w:rsid w:val="6A513A8D"/>
    <w:rsid w:val="6A616209"/>
    <w:rsid w:val="6A6538C2"/>
    <w:rsid w:val="6A9F6397"/>
    <w:rsid w:val="6A9F771C"/>
    <w:rsid w:val="6AFD783A"/>
    <w:rsid w:val="6AFE46FE"/>
    <w:rsid w:val="6B336B46"/>
    <w:rsid w:val="6B3A79A6"/>
    <w:rsid w:val="6B496E29"/>
    <w:rsid w:val="6B5467DE"/>
    <w:rsid w:val="6B7B7AA0"/>
    <w:rsid w:val="6B8474E2"/>
    <w:rsid w:val="6B96158F"/>
    <w:rsid w:val="6B9751A0"/>
    <w:rsid w:val="6B9D2F4E"/>
    <w:rsid w:val="6BB57664"/>
    <w:rsid w:val="6BCA64D1"/>
    <w:rsid w:val="6C0F4DA3"/>
    <w:rsid w:val="6C153F69"/>
    <w:rsid w:val="6C3D18F9"/>
    <w:rsid w:val="6C4745BD"/>
    <w:rsid w:val="6C4D1F44"/>
    <w:rsid w:val="6C864E9C"/>
    <w:rsid w:val="6CAA5208"/>
    <w:rsid w:val="6CD57947"/>
    <w:rsid w:val="6CDB1E06"/>
    <w:rsid w:val="6CDE62FA"/>
    <w:rsid w:val="6CE749A6"/>
    <w:rsid w:val="6CEB3DE6"/>
    <w:rsid w:val="6CFB28A3"/>
    <w:rsid w:val="6D02094A"/>
    <w:rsid w:val="6D0A4910"/>
    <w:rsid w:val="6D855DD9"/>
    <w:rsid w:val="6D91463F"/>
    <w:rsid w:val="6D9363D6"/>
    <w:rsid w:val="6DAC3202"/>
    <w:rsid w:val="6DC1414C"/>
    <w:rsid w:val="6DC45F94"/>
    <w:rsid w:val="6DC71A5C"/>
    <w:rsid w:val="6DDD4B9C"/>
    <w:rsid w:val="6DEC3D19"/>
    <w:rsid w:val="6DED70FE"/>
    <w:rsid w:val="6DF953D5"/>
    <w:rsid w:val="6DFE772A"/>
    <w:rsid w:val="6E011BA4"/>
    <w:rsid w:val="6E076C4B"/>
    <w:rsid w:val="6E09452D"/>
    <w:rsid w:val="6E210C63"/>
    <w:rsid w:val="6E2F3104"/>
    <w:rsid w:val="6E376660"/>
    <w:rsid w:val="6E3B7BEC"/>
    <w:rsid w:val="6E475D08"/>
    <w:rsid w:val="6E7A4F77"/>
    <w:rsid w:val="6E940672"/>
    <w:rsid w:val="6EBA22E3"/>
    <w:rsid w:val="6EC53A3E"/>
    <w:rsid w:val="6EED5376"/>
    <w:rsid w:val="6EED54E5"/>
    <w:rsid w:val="6EFC5612"/>
    <w:rsid w:val="6F0F53D8"/>
    <w:rsid w:val="6F1427BE"/>
    <w:rsid w:val="6F26517B"/>
    <w:rsid w:val="6F36710C"/>
    <w:rsid w:val="6F7560E5"/>
    <w:rsid w:val="6F7C6021"/>
    <w:rsid w:val="6F970583"/>
    <w:rsid w:val="6F9B2C5F"/>
    <w:rsid w:val="6FA82B17"/>
    <w:rsid w:val="6FC06400"/>
    <w:rsid w:val="6FCB4F5B"/>
    <w:rsid w:val="6FE51880"/>
    <w:rsid w:val="6FF56B8E"/>
    <w:rsid w:val="6FFB05DA"/>
    <w:rsid w:val="700E580E"/>
    <w:rsid w:val="701107B5"/>
    <w:rsid w:val="70134182"/>
    <w:rsid w:val="7022504B"/>
    <w:rsid w:val="702757C1"/>
    <w:rsid w:val="702D3692"/>
    <w:rsid w:val="70497584"/>
    <w:rsid w:val="705669C2"/>
    <w:rsid w:val="705B5374"/>
    <w:rsid w:val="705D7B36"/>
    <w:rsid w:val="70BF690E"/>
    <w:rsid w:val="70CF7B3E"/>
    <w:rsid w:val="70F047D5"/>
    <w:rsid w:val="710A53DF"/>
    <w:rsid w:val="712D1967"/>
    <w:rsid w:val="712F239F"/>
    <w:rsid w:val="71456326"/>
    <w:rsid w:val="71466FA0"/>
    <w:rsid w:val="714B1910"/>
    <w:rsid w:val="7178717A"/>
    <w:rsid w:val="719D1D3F"/>
    <w:rsid w:val="71CB12E6"/>
    <w:rsid w:val="71E52DD1"/>
    <w:rsid w:val="71EE0736"/>
    <w:rsid w:val="72021223"/>
    <w:rsid w:val="72125E12"/>
    <w:rsid w:val="721E2D97"/>
    <w:rsid w:val="722345FB"/>
    <w:rsid w:val="723E5741"/>
    <w:rsid w:val="72460CC6"/>
    <w:rsid w:val="724C36DA"/>
    <w:rsid w:val="725211B1"/>
    <w:rsid w:val="72680DBD"/>
    <w:rsid w:val="726A21E4"/>
    <w:rsid w:val="726B62FC"/>
    <w:rsid w:val="72737CD5"/>
    <w:rsid w:val="7277466A"/>
    <w:rsid w:val="729A6AAA"/>
    <w:rsid w:val="72B12B8B"/>
    <w:rsid w:val="72BC5A2F"/>
    <w:rsid w:val="72D907C4"/>
    <w:rsid w:val="72EB0E0B"/>
    <w:rsid w:val="730C7574"/>
    <w:rsid w:val="731509BA"/>
    <w:rsid w:val="733B7B29"/>
    <w:rsid w:val="73596261"/>
    <w:rsid w:val="736571AF"/>
    <w:rsid w:val="73662D29"/>
    <w:rsid w:val="73741DFF"/>
    <w:rsid w:val="73785099"/>
    <w:rsid w:val="73887F8B"/>
    <w:rsid w:val="739917ED"/>
    <w:rsid w:val="73BA3745"/>
    <w:rsid w:val="73BD4086"/>
    <w:rsid w:val="73C739B0"/>
    <w:rsid w:val="73C80752"/>
    <w:rsid w:val="73CA4CF6"/>
    <w:rsid w:val="73D11F47"/>
    <w:rsid w:val="741A2D4E"/>
    <w:rsid w:val="744C4BE5"/>
    <w:rsid w:val="745C3654"/>
    <w:rsid w:val="74667882"/>
    <w:rsid w:val="74C1353B"/>
    <w:rsid w:val="74CE3552"/>
    <w:rsid w:val="751477FD"/>
    <w:rsid w:val="7528773F"/>
    <w:rsid w:val="753E65D1"/>
    <w:rsid w:val="75414019"/>
    <w:rsid w:val="75661EE8"/>
    <w:rsid w:val="757856D7"/>
    <w:rsid w:val="75D554AE"/>
    <w:rsid w:val="760C4A2D"/>
    <w:rsid w:val="761922BE"/>
    <w:rsid w:val="766A0BBA"/>
    <w:rsid w:val="76854F78"/>
    <w:rsid w:val="76A052D7"/>
    <w:rsid w:val="76C5453C"/>
    <w:rsid w:val="76D75B00"/>
    <w:rsid w:val="76E4575D"/>
    <w:rsid w:val="76E86081"/>
    <w:rsid w:val="772A0F86"/>
    <w:rsid w:val="7738447C"/>
    <w:rsid w:val="77431C88"/>
    <w:rsid w:val="775300AC"/>
    <w:rsid w:val="77617EDD"/>
    <w:rsid w:val="779A76AE"/>
    <w:rsid w:val="77C619E6"/>
    <w:rsid w:val="77F13906"/>
    <w:rsid w:val="77FD70F5"/>
    <w:rsid w:val="77FE644C"/>
    <w:rsid w:val="78334793"/>
    <w:rsid w:val="78343942"/>
    <w:rsid w:val="78420E5E"/>
    <w:rsid w:val="784518F9"/>
    <w:rsid w:val="784E154C"/>
    <w:rsid w:val="78623B2D"/>
    <w:rsid w:val="78695B62"/>
    <w:rsid w:val="787F6091"/>
    <w:rsid w:val="78A54577"/>
    <w:rsid w:val="78A903DF"/>
    <w:rsid w:val="78AC3447"/>
    <w:rsid w:val="78BE6B1C"/>
    <w:rsid w:val="78C94406"/>
    <w:rsid w:val="78D4185D"/>
    <w:rsid w:val="78DF7871"/>
    <w:rsid w:val="793301B8"/>
    <w:rsid w:val="793C65A9"/>
    <w:rsid w:val="795118DD"/>
    <w:rsid w:val="79657AEB"/>
    <w:rsid w:val="796F42C3"/>
    <w:rsid w:val="79966DE4"/>
    <w:rsid w:val="79A35616"/>
    <w:rsid w:val="79AC11A3"/>
    <w:rsid w:val="79C16755"/>
    <w:rsid w:val="79C51078"/>
    <w:rsid w:val="79CC0A1D"/>
    <w:rsid w:val="79DC7790"/>
    <w:rsid w:val="79E06D4C"/>
    <w:rsid w:val="79F77823"/>
    <w:rsid w:val="79FC693F"/>
    <w:rsid w:val="7A015546"/>
    <w:rsid w:val="7A0C7AA3"/>
    <w:rsid w:val="7A254CA6"/>
    <w:rsid w:val="7A2F4DE4"/>
    <w:rsid w:val="7A7372F8"/>
    <w:rsid w:val="7A8658E7"/>
    <w:rsid w:val="7A8931BF"/>
    <w:rsid w:val="7A946822"/>
    <w:rsid w:val="7AB47212"/>
    <w:rsid w:val="7ABD7B55"/>
    <w:rsid w:val="7AD154C8"/>
    <w:rsid w:val="7AF909E7"/>
    <w:rsid w:val="7B214A78"/>
    <w:rsid w:val="7B247D28"/>
    <w:rsid w:val="7B2573B3"/>
    <w:rsid w:val="7B2959FE"/>
    <w:rsid w:val="7B3B40A0"/>
    <w:rsid w:val="7B4B75D8"/>
    <w:rsid w:val="7B575BC7"/>
    <w:rsid w:val="7B822AE3"/>
    <w:rsid w:val="7B8E55ED"/>
    <w:rsid w:val="7B982DB4"/>
    <w:rsid w:val="7B9B0884"/>
    <w:rsid w:val="7BAC091D"/>
    <w:rsid w:val="7BB5605E"/>
    <w:rsid w:val="7BC42C68"/>
    <w:rsid w:val="7BDF2A2B"/>
    <w:rsid w:val="7BE92E7F"/>
    <w:rsid w:val="7C09434E"/>
    <w:rsid w:val="7C2101F7"/>
    <w:rsid w:val="7C285416"/>
    <w:rsid w:val="7C497A06"/>
    <w:rsid w:val="7C505097"/>
    <w:rsid w:val="7C657F71"/>
    <w:rsid w:val="7C7F473E"/>
    <w:rsid w:val="7CED4C31"/>
    <w:rsid w:val="7CF72C09"/>
    <w:rsid w:val="7D022925"/>
    <w:rsid w:val="7D2F77F9"/>
    <w:rsid w:val="7D646B4D"/>
    <w:rsid w:val="7DA16514"/>
    <w:rsid w:val="7DAC19B8"/>
    <w:rsid w:val="7DD9435F"/>
    <w:rsid w:val="7DDC3759"/>
    <w:rsid w:val="7DFE2F37"/>
    <w:rsid w:val="7E326906"/>
    <w:rsid w:val="7E4C606C"/>
    <w:rsid w:val="7E6A4968"/>
    <w:rsid w:val="7E930FC7"/>
    <w:rsid w:val="7EA32BB3"/>
    <w:rsid w:val="7EB52B5C"/>
    <w:rsid w:val="7EF532DE"/>
    <w:rsid w:val="7EFB5CA2"/>
    <w:rsid w:val="7F0F0B9D"/>
    <w:rsid w:val="7F162709"/>
    <w:rsid w:val="7F1C59F2"/>
    <w:rsid w:val="7F27274E"/>
    <w:rsid w:val="7F2C40CC"/>
    <w:rsid w:val="7F624F8C"/>
    <w:rsid w:val="7F796C6B"/>
    <w:rsid w:val="7F7C6FB9"/>
    <w:rsid w:val="7F8E4C95"/>
    <w:rsid w:val="7FB11CCC"/>
    <w:rsid w:val="7FC83EF7"/>
    <w:rsid w:val="7FD050B5"/>
    <w:rsid w:val="7FE80210"/>
    <w:rsid w:val="7FEB2E34"/>
    <w:rsid w:val="7FEC735E"/>
    <w:rsid w:val="7FEE09E8"/>
    <w:rsid w:val="7FF5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7">
    <w:name w:val="heading 4"/>
    <w:basedOn w:val="1"/>
    <w:next w:val="1"/>
    <w:qFormat/>
    <w:uiPriority w:val="0"/>
    <w:pPr>
      <w:keepNext/>
      <w:keepLines/>
      <w:spacing w:before="280" w:after="290" w:line="400" w:lineRule="exact"/>
      <w:ind w:left="862" w:hanging="862"/>
      <w:outlineLvl w:val="3"/>
    </w:pPr>
    <w:rPr>
      <w:rFonts w:ascii="Calibri Light" w:hAnsi="Calibri Light" w:eastAsia="宋体" w:cs="Times New Roman"/>
      <w:b/>
      <w:bCs/>
      <w:szCs w:val="28"/>
    </w:rPr>
  </w:style>
  <w:style w:type="paragraph" w:styleId="8">
    <w:name w:val="heading 5"/>
    <w:basedOn w:val="1"/>
    <w:next w:val="1"/>
    <w:unhideWhenUsed/>
    <w:qFormat/>
    <w:uiPriority w:val="0"/>
    <w:pPr>
      <w:keepNext/>
      <w:keepLines/>
      <w:numPr>
        <w:ilvl w:val="4"/>
        <w:numId w:val="1"/>
      </w:numPr>
      <w:spacing w:before="280" w:after="290" w:line="376" w:lineRule="auto"/>
      <w:outlineLvl w:val="4"/>
    </w:pPr>
    <w:rPr>
      <w:rFonts w:ascii="黑体" w:hAnsi="黑体" w:eastAsia="黑体" w:cstheme="majorEastAsia"/>
      <w:b/>
      <w:bCs/>
    </w:rPr>
  </w:style>
  <w:style w:type="paragraph" w:styleId="9">
    <w:name w:val="heading 6"/>
    <w:basedOn w:val="1"/>
    <w:next w:val="1"/>
    <w:qFormat/>
    <w:uiPriority w:val="0"/>
    <w:pPr>
      <w:keepNext/>
      <w:keepLines/>
      <w:numPr>
        <w:ilvl w:val="5"/>
        <w:numId w:val="2"/>
      </w:numPr>
      <w:spacing w:before="240" w:after="64" w:line="320" w:lineRule="auto"/>
      <w:outlineLvl w:val="5"/>
    </w:pPr>
    <w:rPr>
      <w:rFonts w:ascii="黑体" w:hAnsi="黑体" w:eastAsia="黑体" w:cs="黑体"/>
      <w:bCs/>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cs="宋体" w:eastAsiaTheme="minorEastAsia"/>
      <w:color w:val="000000"/>
      <w:kern w:val="2"/>
      <w:sz w:val="24"/>
      <w:szCs w:val="24"/>
      <w:lang w:val="en-US" w:eastAsia="zh-CN" w:bidi="ar-SA"/>
    </w:rPr>
  </w:style>
  <w:style w:type="paragraph" w:styleId="5">
    <w:name w:val="Normal Indent"/>
    <w:basedOn w:val="1"/>
    <w:qFormat/>
    <w:uiPriority w:val="0"/>
    <w:pPr>
      <w:ind w:firstLine="200" w:firstLineChars="200"/>
    </w:pPr>
    <w:rPr>
      <w:szCs w:val="20"/>
    </w:rPr>
  </w:style>
  <w:style w:type="paragraph" w:styleId="10">
    <w:name w:val="annotation text"/>
    <w:basedOn w:val="1"/>
    <w:qFormat/>
    <w:uiPriority w:val="0"/>
    <w:pPr>
      <w:jc w:val="left"/>
    </w:pPr>
  </w:style>
  <w:style w:type="paragraph" w:styleId="11">
    <w:name w:val="Body Text Indent"/>
    <w:basedOn w:val="1"/>
    <w:semiHidden/>
    <w:unhideWhenUsed/>
    <w:qFormat/>
    <w:uiPriority w:val="99"/>
    <w:pPr>
      <w:spacing w:after="120"/>
      <w:ind w:left="420" w:leftChars="200"/>
    </w:pPr>
  </w:style>
  <w:style w:type="paragraph" w:styleId="12">
    <w:name w:val="Plain Text"/>
    <w:basedOn w:val="1"/>
    <w:qFormat/>
    <w:uiPriority w:val="0"/>
    <w:rPr>
      <w:rFonts w:ascii="宋体" w:hAnsi="Courier New"/>
      <w:szCs w:val="20"/>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Body Text First Indent 2"/>
    <w:basedOn w:val="11"/>
    <w:unhideWhenUsed/>
    <w:qFormat/>
    <w:uiPriority w:val="99"/>
    <w:pPr>
      <w:spacing w:after="0"/>
      <w:ind w:firstLine="420"/>
    </w:p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Autospacing="1" w:afterAutospacing="1"/>
      <w:jc w:val="left"/>
    </w:pPr>
    <w:rPr>
      <w:rFonts w:cs="Times New Roman"/>
      <w:kern w:val="0"/>
      <w:sz w:val="24"/>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_标题1"/>
    <w:basedOn w:val="3"/>
    <w:next w:val="1"/>
    <w:qFormat/>
    <w:uiPriority w:val="0"/>
    <w:pPr>
      <w:pageBreakBefore/>
      <w:widowControl/>
      <w:numPr>
        <w:ilvl w:val="0"/>
        <w:numId w:val="3"/>
      </w:numPr>
      <w:spacing w:line="576" w:lineRule="auto"/>
      <w:jc w:val="center"/>
    </w:pPr>
    <w:rPr>
      <w:rFonts w:ascii="Arial" w:hAnsi="Arial" w:eastAsia="黑体" w:cs="宋体"/>
      <w:b w:val="0"/>
    </w:rPr>
  </w:style>
  <w:style w:type="paragraph" w:customStyle="1" w:styleId="23">
    <w:name w:val="_标题2"/>
    <w:basedOn w:val="4"/>
    <w:next w:val="1"/>
    <w:qFormat/>
    <w:uiPriority w:val="0"/>
    <w:pPr>
      <w:widowControl/>
      <w:numPr>
        <w:ilvl w:val="1"/>
        <w:numId w:val="3"/>
      </w:numPr>
      <w:spacing w:line="360" w:lineRule="auto"/>
      <w:jc w:val="left"/>
    </w:pPr>
    <w:rPr>
      <w:rFonts w:ascii="Arial" w:hAnsi="Arial" w:eastAsia="黑体" w:cs="宋体"/>
      <w:b w:val="0"/>
      <w:kern w:val="0"/>
    </w:rPr>
  </w:style>
  <w:style w:type="paragraph" w:customStyle="1" w:styleId="24">
    <w:name w:val="_标题3"/>
    <w:basedOn w:val="6"/>
    <w:next w:val="1"/>
    <w:qFormat/>
    <w:uiPriority w:val="0"/>
    <w:pPr>
      <w:widowControl/>
      <w:numPr>
        <w:ilvl w:val="2"/>
        <w:numId w:val="3"/>
      </w:numPr>
      <w:adjustRightInd w:val="0"/>
      <w:snapToGrid w:val="0"/>
      <w:spacing w:before="60" w:after="60" w:line="360" w:lineRule="auto"/>
    </w:pPr>
    <w:rPr>
      <w:rFonts w:ascii="Arial" w:hAnsi="Arial" w:eastAsia="黑体" w:cs="宋体"/>
      <w:b w:val="0"/>
      <w:sz w:val="30"/>
    </w:rPr>
  </w:style>
  <w:style w:type="paragraph" w:customStyle="1" w:styleId="25">
    <w:name w:val="FC正文"/>
    <w:basedOn w:val="1"/>
    <w:qFormat/>
    <w:uiPriority w:val="0"/>
    <w:pPr>
      <w:snapToGrid w:val="0"/>
      <w:spacing w:before="50" w:beforeLines="50" w:after="50" w:afterLines="50"/>
      <w:ind w:firstLine="200" w:firstLineChars="200"/>
      <w:contextualSpacing/>
    </w:pPr>
    <w:rPr>
      <w:rFonts w:ascii="宋体" w:hAnsi="宋体" w:eastAsia="宋体" w:cs="宋体"/>
      <w:szCs w:val="21"/>
    </w:r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7">
    <w:name w:val="页眉 字符"/>
    <w:basedOn w:val="17"/>
    <w:link w:val="15"/>
    <w:qFormat/>
    <w:uiPriority w:val="0"/>
    <w:rPr>
      <w:rFonts w:asciiTheme="minorHAnsi" w:hAnsiTheme="minorHAnsi" w:eastAsiaTheme="minorEastAsia" w:cstheme="minorBidi"/>
      <w:kern w:val="2"/>
      <w:sz w:val="18"/>
      <w:szCs w:val="18"/>
    </w:rPr>
  </w:style>
  <w:style w:type="character" w:customStyle="1" w:styleId="28">
    <w:name w:val="页脚 字符"/>
    <w:basedOn w:val="17"/>
    <w:link w:val="13"/>
    <w:qFormat/>
    <w:uiPriority w:val="0"/>
    <w:rPr>
      <w:rFonts w:asciiTheme="minorHAnsi" w:hAnsiTheme="minorHAnsi" w:eastAsiaTheme="minorEastAsia" w:cstheme="minorBidi"/>
      <w:kern w:val="2"/>
      <w:sz w:val="18"/>
      <w:szCs w:val="18"/>
    </w:rPr>
  </w:style>
  <w:style w:type="paragraph" w:customStyle="1" w:styleId="29">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0">
    <w:name w:val="font61"/>
    <w:basedOn w:val="17"/>
    <w:qFormat/>
    <w:uiPriority w:val="0"/>
    <w:rPr>
      <w:rFonts w:hint="eastAsia" w:ascii="宋体" w:hAnsi="宋体" w:eastAsia="宋体" w:cs="宋体"/>
      <w:color w:val="000000"/>
      <w:sz w:val="21"/>
      <w:szCs w:val="21"/>
      <w:u w:val="none"/>
    </w:rPr>
  </w:style>
  <w:style w:type="character" w:customStyle="1" w:styleId="31">
    <w:name w:val="font51"/>
    <w:basedOn w:val="17"/>
    <w:qFormat/>
    <w:uiPriority w:val="0"/>
    <w:rPr>
      <w:rFonts w:hint="eastAsia" w:ascii="宋体" w:hAnsi="宋体" w:eastAsia="宋体" w:cs="宋体"/>
      <w:color w:val="FF0000"/>
      <w:sz w:val="21"/>
      <w:szCs w:val="21"/>
      <w:u w:val="none"/>
    </w:rPr>
  </w:style>
  <w:style w:type="character" w:customStyle="1" w:styleId="32">
    <w:name w:val="font71"/>
    <w:basedOn w:val="17"/>
    <w:qFormat/>
    <w:uiPriority w:val="0"/>
    <w:rPr>
      <w:rFonts w:hint="eastAsia" w:ascii="宋体" w:hAnsi="宋体" w:eastAsia="宋体" w:cs="宋体"/>
      <w:color w:val="000000"/>
      <w:sz w:val="20"/>
      <w:szCs w:val="20"/>
      <w:u w:val="none"/>
    </w:rPr>
  </w:style>
  <w:style w:type="character" w:customStyle="1" w:styleId="33">
    <w:name w:val="font01"/>
    <w:basedOn w:val="17"/>
    <w:qFormat/>
    <w:uiPriority w:val="0"/>
    <w:rPr>
      <w:rFonts w:hint="eastAsia" w:ascii="宋体" w:hAnsi="宋体" w:eastAsia="宋体" w:cs="宋体"/>
      <w:color w:val="FF0000"/>
      <w:sz w:val="20"/>
      <w:szCs w:val="20"/>
      <w:u w:val="none"/>
    </w:rPr>
  </w:style>
  <w:style w:type="paragraph" w:customStyle="1" w:styleId="3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10731</Words>
  <Characters>11252</Characters>
  <Lines>89</Lines>
  <Paragraphs>25</Paragraphs>
  <TotalTime>36</TotalTime>
  <ScaleCrop>false</ScaleCrop>
  <LinksUpToDate>false</LinksUpToDate>
  <CharactersWithSpaces>11313</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2023-02-22T08:34:00Z</dcterms:created>
  <dc:creator>linx</dc:creator>
  <cp:lastModifiedBy>林昕</cp:lastModifiedBy>
  <cp:lastPrinted>2023-02-24T01:53:00Z</cp:lastPrinted>
  <dcterms:modified xsi:type="dcterms:W3CDTF">2024-07-03T03:07:57Z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88161CD715C844CBB9CE7511A3C517C5</vt:lpwstr>
  </property>
</Properties>
</file>