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widowControl/>
        <w:spacing w:before="75" w:beforeAutospacing="0" w:after="75" w:afterAutospacing="0" w:line="720" w:lineRule="auto"/>
        <w:jc w:val="center"/>
        <w:outlineLvl w:val="1"/>
        <w:rPr>
          <w:rFonts w:ascii="宋体" w:hAnsi="宋体" w:eastAsia="宋体" w:cs="宋体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2023年度安全等保测评需求</w:t>
      </w:r>
    </w:p>
    <w:p>
      <w:pPr>
        <w:pStyle w:val="8"/>
        <w:widowControl/>
        <w:spacing w:before="75" w:beforeAutospacing="0" w:after="75" w:afterAutospacing="0"/>
        <w:outlineLvl w:val="1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一、项目概况</w:t>
      </w:r>
    </w:p>
    <w:p>
      <w:pPr>
        <w:pStyle w:val="8"/>
        <w:widowControl/>
        <w:spacing w:beforeAutospacing="0" w:after="150" w:afterAutospacing="0" w:line="405" w:lineRule="atLeast"/>
        <w:ind w:firstLine="640" w:firstLineChars="20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根据 《网络安全法》等相关法律法规要求，福建省市场监管局对福建省工商系统企业档案电子化综合管理系统、福建省“一品一码”食品安全信息追溯管理平台、电子营业执照系统、福建省一体化协同办公平台、福建省工商行政管理局业务信息综合应用系统、福建省市场监督管理局网站等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套信息系统开展202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年度安全等级保护测评</w:t>
      </w:r>
      <w:r>
        <w:rPr>
          <w:rFonts w:hint="default" w:ascii="仿宋_GB2312" w:hAnsi="仿宋_GB2312" w:eastAsia="仿宋_GB2312" w:cs="仿宋_GB2312"/>
          <w:sz w:val="32"/>
          <w:szCs w:val="32"/>
          <w:shd w:val="clear" w:color="auto" w:fill="FFFFFF"/>
        </w:rPr>
        <w:t>,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测评等级为三级。</w:t>
      </w:r>
    </w:p>
    <w:p>
      <w:pPr>
        <w:pStyle w:val="8"/>
        <w:widowControl/>
        <w:spacing w:before="75" w:beforeAutospacing="0" w:after="75" w:afterAutospacing="0"/>
        <w:outlineLvl w:val="1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二、技术和服务要求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Style w:val="10"/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1、等级保护测评服务依据标准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投标人</w:t>
      </w:r>
      <w:r>
        <w:rPr>
          <w:rFonts w:hint="eastAsia" w:asciiTheme="minorEastAsia" w:hAnsiTheme="minorEastAsia" w:cstheme="minorEastAsia"/>
          <w:i w:val="0"/>
          <w:caps w:val="0"/>
          <w:color w:val="000000"/>
          <w:spacing w:val="0"/>
          <w:sz w:val="28"/>
          <w:szCs w:val="28"/>
          <w:lang w:val="en-US" w:eastAsia="zh-CN"/>
        </w:rPr>
        <w:t>应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具备</w:t>
      </w:r>
      <w:r>
        <w:rPr>
          <w:rFonts w:hint="eastAsia" w:asciiTheme="minorEastAsia" w:hAnsiTheme="minorEastAsia" w:cstheme="minorEastAsia"/>
          <w:i w:val="0"/>
          <w:caps w:val="0"/>
          <w:color w:val="000000"/>
          <w:spacing w:val="0"/>
          <w:sz w:val="28"/>
          <w:szCs w:val="28"/>
          <w:lang w:val="en-US" w:eastAsia="zh-CN"/>
        </w:rPr>
        <w:t>公安部颁发的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《网络安全等级测评与检测评估机构服务认证证书》</w:t>
      </w:r>
      <w:r>
        <w:rPr>
          <w:rFonts w:hint="eastAsia" w:asciiTheme="minorEastAsia" w:hAnsiTheme="minorEastAsia" w:cstheme="minorEastAsia"/>
          <w:i w:val="0"/>
          <w:caps w:val="0"/>
          <w:color w:val="000000"/>
          <w:spacing w:val="0"/>
          <w:sz w:val="28"/>
          <w:szCs w:val="28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投标人</w:t>
      </w:r>
      <w:r>
        <w:rPr>
          <w:rFonts w:hint="eastAsia" w:asciiTheme="minorEastAsia" w:hAnsiTheme="minorEastAsia" w:cstheme="minorEastAsia"/>
          <w:i w:val="0"/>
          <w:caps w:val="0"/>
          <w:color w:val="000000"/>
          <w:spacing w:val="0"/>
          <w:sz w:val="28"/>
          <w:szCs w:val="28"/>
          <w:lang w:val="en-US" w:eastAsia="zh-CN"/>
        </w:rPr>
        <w:t>须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出具</w:t>
      </w:r>
      <w:r>
        <w:rPr>
          <w:rFonts w:hint="eastAsia" w:asciiTheme="minorEastAsia" w:hAnsiTheme="minorEastAsia" w:cstheme="minorEastAsia"/>
          <w:i w:val="0"/>
          <w:caps w:val="0"/>
          <w:color w:val="000000"/>
          <w:spacing w:val="0"/>
          <w:sz w:val="28"/>
          <w:szCs w:val="28"/>
          <w:lang w:val="en-US" w:eastAsia="zh-CN"/>
        </w:rPr>
        <w:t>该证书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的证明材料，未出具的按无效标处理。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投标人需依据国家等级保护相关标准开展工作。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GB∕T 17859-1999 《计算机信息系统安全保护等级划分准则》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GB∕T 22239-2019 信息安全技术网络安全等级保护基本要求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GB∕T 25070-2019 信息安全技术网络安全等级保护安全设 计技术要求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GB∕T 28448-2019 信息安全技术网络安全等级保护测评要求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GB∕T 22240-2008 信息安全技术信息系统安全等级保护定级指南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GB∕T 28449-2018 信息安全技术网络安全等级保护测评过程指南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信息安全等级保护管理办法(公通字〔2007〕43号)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测评要求需符合国家最新要求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caps w:val="0"/>
          <w:color w:val="000000"/>
          <w:spacing w:val="0"/>
          <w:sz w:val="28"/>
          <w:szCs w:val="28"/>
        </w:rPr>
        <w:t>2、技术服务内容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2.1、信息系统评估与测评服务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通过风险评估、安全扫描、渗透测试、现场访谈和资料查阅等测评手段，准确反映采购人待测信息系统的安全防护能力现状，对发现的问题进行深入分析，提出安全整改建议，最终出具</w:t>
      </w:r>
      <w:r>
        <w:rPr>
          <w:rFonts w:hint="eastAsia" w:asciiTheme="minorEastAsia" w:hAnsiTheme="minorEastAsia" w:cstheme="minorEastAsia"/>
          <w:i w:val="0"/>
          <w:caps w:val="0"/>
          <w:color w:val="000000"/>
          <w:spacing w:val="0"/>
          <w:sz w:val="28"/>
          <w:szCs w:val="28"/>
          <w:lang w:val="en-US" w:eastAsia="zh-CN"/>
        </w:rPr>
        <w:t>6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套信息系统等级保护测评报告和安全风险评估报告，每个系统各一式两份。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2.2、等级保护测评服务内容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根据国家等级保护相关标准，投标人对采购人信息系统安全等级保护测评的内容包括：</w:t>
      </w:r>
    </w:p>
    <w:tbl>
      <w:tblPr>
        <w:tblStyle w:val="12"/>
        <w:tblW w:w="8519" w:type="dxa"/>
        <w:tblCellSpacing w:w="15" w:type="dxa"/>
        <w:tblInd w:w="-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21"/>
        <w:gridCol w:w="1672"/>
        <w:gridCol w:w="5726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35" w:type="dxa"/>
              <w:bottom w:w="0" w:type="dxa"/>
              <w:right w:w="135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序号</w:t>
            </w:r>
          </w:p>
        </w:tc>
        <w:tc>
          <w:tcPr>
            <w:tcW w:w="73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0" w:type="dxa"/>
              <w:left w:w="135" w:type="dxa"/>
              <w:bottom w:w="0" w:type="dxa"/>
              <w:right w:w="135" w:type="dxa"/>
            </w:tcMar>
            <w:vAlign w:val="top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测评内容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5" w:type="dxa"/>
              <w:bottom w:w="0" w:type="dxa"/>
              <w:right w:w="135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1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5" w:type="dxa"/>
              <w:bottom w:w="0" w:type="dxa"/>
              <w:right w:w="135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技术测评</w:t>
            </w:r>
          </w:p>
        </w:tc>
        <w:tc>
          <w:tcPr>
            <w:tcW w:w="5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5" w:type="dxa"/>
              <w:bottom w:w="0" w:type="dxa"/>
              <w:right w:w="135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（1）安全物理环境（物理位置选择，物理访问控制，防盗窃和防破坏，防雷击，防火，防水和防潮，防静电，温湿度控制，电力供应，电磁防护）；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（2）安全通信网络（网络架构，通信传输，可信验证）；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（3）安全区域边界（边界防护，访问控制，入侵防范，恶意代码和垃圾邮件防范，安全审计，可信验证）；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（4）安全计算环境（身份鉴别，访问控制，安全审计，入侵防范，恶意代码防范，可信验证，数据完整性，数据保密性，数据备份恢复，剩余信息保护，个人信息保护）；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（5）安全管理中心（系统管理，审计管理，安全管理，集中管控）；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5" w:hRule="atLeast"/>
          <w:tblCellSpacing w:w="15" w:type="dxa"/>
        </w:trPr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5" w:type="dxa"/>
              <w:bottom w:w="0" w:type="dxa"/>
              <w:right w:w="135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2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5" w:type="dxa"/>
              <w:bottom w:w="0" w:type="dxa"/>
              <w:right w:w="135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管理测评</w:t>
            </w:r>
          </w:p>
        </w:tc>
        <w:tc>
          <w:tcPr>
            <w:tcW w:w="5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5" w:type="dxa"/>
              <w:bottom w:w="0" w:type="dxa"/>
              <w:right w:w="135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（1）安全管理制度（管理制度，制定和发布，评审和修订）；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（2）安全管理机构（岗位设置，人员配备，授权和审批，沟通和合 作，审核和检查）；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（3）安全管理人员（人员录用，人员离岗，安全意识教育和培训，外部人员访问管理）；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（4）安全建设管理（定级和备案，安全方案设 计，产品采购和使用，自行软件开发，外包软件开发，工程实施，测试验收，系统交付，等级测评，服务投标人选择）；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5）安全运维管理（环境管理，资产管理，介质管理，设备维护管理，漏洞和风险管理，网络与系统安全管理，恶意代码防范管理，配置管理，密码管理，变更管理，备份与恢复管理，安全事件处置，应急预案管理，外包运维管理）；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60" w:hRule="atLeast"/>
          <w:tblCellSpacing w:w="15" w:type="dxa"/>
        </w:trPr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5" w:type="dxa"/>
              <w:bottom w:w="0" w:type="dxa"/>
              <w:right w:w="135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3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5" w:type="dxa"/>
              <w:bottom w:w="0" w:type="dxa"/>
              <w:right w:w="135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扩展测评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云计算</w:t>
            </w:r>
          </w:p>
        </w:tc>
        <w:tc>
          <w:tcPr>
            <w:tcW w:w="5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5" w:type="dxa"/>
              <w:bottom w:w="0" w:type="dxa"/>
              <w:right w:w="135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（1）安全物理环境（基础设施位置）；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（2）安全通信网络（网络架构）；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（3）安全区域边界（访问控制，入侵防范，安全审计）；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（4）安全计算环境（身份鉴别，访问控制，入侵防范，镜像和快照保护，数据完整性和保密性，数据备份恢复，剩余信息保护）；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（5）安全管理中心（集中管控）；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（6）安全建设管理（云服务商选择，供应链管理）；</w:t>
            </w:r>
          </w:p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（7）安全运维管理（云计算环境管理）；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15" w:hRule="atLeast"/>
          <w:tblCellSpacing w:w="15" w:type="dxa"/>
        </w:trPr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5" w:type="dxa"/>
              <w:bottom w:w="0" w:type="dxa"/>
              <w:right w:w="135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4</w:t>
            </w: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5" w:type="dxa"/>
              <w:bottom w:w="0" w:type="dxa"/>
              <w:right w:w="135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项目成果</w:t>
            </w:r>
          </w:p>
        </w:tc>
        <w:tc>
          <w:tcPr>
            <w:tcW w:w="5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5" w:type="dxa"/>
              <w:bottom w:w="0" w:type="dxa"/>
              <w:right w:w="135" w:type="dxa"/>
            </w:tcMar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tLeast"/>
              <w:ind w:left="0" w:firstLine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000000"/>
                <w:spacing w:val="0"/>
                <w:sz w:val="28"/>
                <w:szCs w:val="28"/>
              </w:rPr>
              <w:t>文档资料：网络安全等级保护测评报告。</w:t>
            </w:r>
          </w:p>
        </w:tc>
      </w:tr>
    </w:tbl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2.3、 测评原则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本次安全保护等级保护测评实施应满足以下原则：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（1）保密原则：中标人对测评的过程数据和结果数据须严格保密，未经授权不得泄露给任何单位和个人，不得利用此数据进行任何侵害采购人的行为，否则采购人有权追究其责任。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（2）标准性原则：测评方案的设 计与实施须依据国家等级保护的相关标准进行。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（3）规范性原则：评测工作中的过程和文档，须具有很好的规范性，便于采购人对项目的跟踪和控制。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（4）可控性原则：测评服务的进度要跟上进度表的安排，保证采购人对于测评工作的可控性。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（5）整体性原则：测评的范围和内容应当整体全面，包括国家等级保护相关要求涉及的各个层面。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（6）最小影响原则：测评工作应尽可能小的影响系统和网络，并在可控范围内；测评工作不能对现有信息系统的正常运行、业务的正常开展产生任何影响。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2.4、等级测试的整体要求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（1）等级保护测评实施过程中所使用到的各种工具软件均由中标人推荐，经采购人确认后由中标人提供并在测评中使用。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（2）安全测评工具软件运行需要的所有硬件平台（如笔记本电脑、PC、工作站等）和操作系统软件等均由中标人推荐，经采购人确认后由中标人提供并在测评中使用。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（3）安全测评需要的运行环境（如场地、网络环境等）由采购人提供，中标人应根据项目需要向采购人说明需要的运行环境的具体要求。</w:t>
      </w:r>
    </w:p>
    <w:p>
      <w:pPr>
        <w:pStyle w:val="8"/>
        <w:widowControl/>
        <w:spacing w:before="75" w:beforeAutospacing="0" w:after="75" w:afterAutospacing="0"/>
        <w:outlineLvl w:val="1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</w:t>
      </w:r>
      <w:r>
        <w:rPr>
          <w:rFonts w:hint="eastAsia" w:ascii="黑体" w:hAnsi="黑体" w:eastAsia="黑体" w:cs="黑体"/>
          <w:sz w:val="32"/>
          <w:szCs w:val="32"/>
        </w:rPr>
        <w:t>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其他</w:t>
      </w:r>
      <w:r>
        <w:rPr>
          <w:rFonts w:hint="eastAsia" w:ascii="黑体" w:hAnsi="黑体" w:eastAsia="黑体" w:cs="黑体"/>
          <w:sz w:val="32"/>
          <w:szCs w:val="32"/>
        </w:rPr>
        <w:t>要求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atLeast"/>
        <w:ind w:left="0" w:firstLine="0"/>
        <w:textAlignment w:val="auto"/>
        <w:outlineLvl w:val="9"/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cstheme="minorEastAsia"/>
          <w:i w:val="0"/>
          <w:caps w:val="0"/>
          <w:color w:val="000000"/>
          <w:spacing w:val="0"/>
          <w:sz w:val="28"/>
          <w:szCs w:val="28"/>
          <w:lang w:val="en-US" w:eastAsia="zh-CN"/>
        </w:rPr>
        <w:t>投标方允许甲方对6套信息系统进行个别调整，更换待测评的系统，保持总体测评6个系统总数不变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44A229"/>
    <w:multiLevelType w:val="multilevel"/>
    <w:tmpl w:val="4444A229"/>
    <w:lvl w:ilvl="0" w:tentative="0">
      <w:start w:val="1"/>
      <w:numFmt w:val="decimal"/>
      <w:pStyle w:val="2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67" w:hanging="567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09" w:hanging="709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850" w:hanging="85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991" w:hanging="991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134" w:hanging="1134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75" w:hanging="1275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58" w:hanging="1558"/>
      </w:pPr>
      <w:rPr>
        <w:rFonts w:hint="default"/>
      </w:rPr>
    </w:lvl>
  </w:abstractNum>
  <w:abstractNum w:abstractNumId="1">
    <w:nsid w:val="73B688A5"/>
    <w:multiLevelType w:val="multilevel"/>
    <w:tmpl w:val="73B688A5"/>
    <w:lvl w:ilvl="0" w:tentative="0">
      <w:start w:val="1"/>
      <w:numFmt w:val="decimal"/>
      <w:pStyle w:val="3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67" w:hanging="567"/>
      </w:pPr>
      <w:rPr>
        <w:rFonts w:hint="default" w:ascii="宋体" w:hAnsi="宋体" w:eastAsia="宋体" w:cs="宋体"/>
      </w:rPr>
    </w:lvl>
    <w:lvl w:ilvl="2" w:tentative="0">
      <w:start w:val="1"/>
      <w:numFmt w:val="decimal"/>
      <w:lvlText w:val="%1.%2.%3."/>
      <w:lvlJc w:val="left"/>
      <w:pPr>
        <w:ind w:left="709" w:hanging="709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850" w:hanging="85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991" w:hanging="991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134" w:hanging="1134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75" w:hanging="1275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58" w:hanging="1558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0AD"/>
    <w:rsid w:val="001B3D64"/>
    <w:rsid w:val="003E30AD"/>
    <w:rsid w:val="00482A34"/>
    <w:rsid w:val="00487B1C"/>
    <w:rsid w:val="005524B1"/>
    <w:rsid w:val="006B6C81"/>
    <w:rsid w:val="006C019C"/>
    <w:rsid w:val="007617D3"/>
    <w:rsid w:val="009B01AE"/>
    <w:rsid w:val="009F5353"/>
    <w:rsid w:val="00A12DB4"/>
    <w:rsid w:val="00B615AC"/>
    <w:rsid w:val="00C25357"/>
    <w:rsid w:val="00CD0DAD"/>
    <w:rsid w:val="00EE6181"/>
    <w:rsid w:val="00F1191B"/>
    <w:rsid w:val="00F71517"/>
    <w:rsid w:val="046C48D8"/>
    <w:rsid w:val="053D3FFF"/>
    <w:rsid w:val="07043A2A"/>
    <w:rsid w:val="078F3775"/>
    <w:rsid w:val="09795283"/>
    <w:rsid w:val="0C2A7A8F"/>
    <w:rsid w:val="0CBD2EAF"/>
    <w:rsid w:val="0DC52961"/>
    <w:rsid w:val="0E093CC3"/>
    <w:rsid w:val="0FA649E0"/>
    <w:rsid w:val="0FB07B2C"/>
    <w:rsid w:val="18384963"/>
    <w:rsid w:val="1A6D34CE"/>
    <w:rsid w:val="1CEB0AFD"/>
    <w:rsid w:val="1FBC491A"/>
    <w:rsid w:val="204540CE"/>
    <w:rsid w:val="2280106F"/>
    <w:rsid w:val="24C62954"/>
    <w:rsid w:val="2584633F"/>
    <w:rsid w:val="2713517A"/>
    <w:rsid w:val="2BEF4671"/>
    <w:rsid w:val="2CC102EE"/>
    <w:rsid w:val="2DB1609D"/>
    <w:rsid w:val="2E0466B6"/>
    <w:rsid w:val="2F380B44"/>
    <w:rsid w:val="309A50BC"/>
    <w:rsid w:val="30EF31D8"/>
    <w:rsid w:val="35667944"/>
    <w:rsid w:val="358F73ED"/>
    <w:rsid w:val="374110F8"/>
    <w:rsid w:val="3C1F01C9"/>
    <w:rsid w:val="3D6A733F"/>
    <w:rsid w:val="408E54D0"/>
    <w:rsid w:val="432F247C"/>
    <w:rsid w:val="49A277AA"/>
    <w:rsid w:val="4B5730CE"/>
    <w:rsid w:val="4D664630"/>
    <w:rsid w:val="4EAE3D81"/>
    <w:rsid w:val="4EDD0564"/>
    <w:rsid w:val="4F982560"/>
    <w:rsid w:val="4FA05AC6"/>
    <w:rsid w:val="4FEF395A"/>
    <w:rsid w:val="529C09DC"/>
    <w:rsid w:val="5404329E"/>
    <w:rsid w:val="542C2BE7"/>
    <w:rsid w:val="56A50E35"/>
    <w:rsid w:val="5AD860E3"/>
    <w:rsid w:val="5ED23B16"/>
    <w:rsid w:val="5F0D0121"/>
    <w:rsid w:val="65BA7152"/>
    <w:rsid w:val="6649226F"/>
    <w:rsid w:val="665E3FB3"/>
    <w:rsid w:val="66F5302E"/>
    <w:rsid w:val="67C35846"/>
    <w:rsid w:val="69A2773D"/>
    <w:rsid w:val="6CC41712"/>
    <w:rsid w:val="744C7D20"/>
    <w:rsid w:val="74A42C2B"/>
    <w:rsid w:val="75753F57"/>
    <w:rsid w:val="76595B07"/>
    <w:rsid w:val="769D2054"/>
    <w:rsid w:val="79013C8B"/>
    <w:rsid w:val="7D2A28E2"/>
    <w:rsid w:val="7E3E2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4"/>
    <w:unhideWhenUsed/>
    <w:qFormat/>
    <w:uiPriority w:val="0"/>
    <w:pPr>
      <w:keepNext/>
      <w:keepLines/>
      <w:numPr>
        <w:ilvl w:val="0"/>
        <w:numId w:val="1"/>
      </w:numPr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3">
    <w:name w:val="heading 3"/>
    <w:basedOn w:val="1"/>
    <w:next w:val="1"/>
    <w:link w:val="13"/>
    <w:unhideWhenUsed/>
    <w:qFormat/>
    <w:uiPriority w:val="0"/>
    <w:pPr>
      <w:keepNext/>
      <w:keepLines/>
      <w:numPr>
        <w:ilvl w:val="0"/>
        <w:numId w:val="2"/>
      </w:numPr>
      <w:tabs>
        <w:tab w:val="left" w:pos="0"/>
      </w:tabs>
      <w:spacing w:before="260" w:after="260" w:line="413" w:lineRule="auto"/>
      <w:outlineLvl w:val="2"/>
    </w:pPr>
    <w:rPr>
      <w:b/>
      <w:sz w:val="28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subject"/>
    <w:basedOn w:val="5"/>
    <w:next w:val="5"/>
    <w:link w:val="19"/>
    <w:qFormat/>
    <w:uiPriority w:val="0"/>
    <w:rPr>
      <w:b/>
      <w:bCs/>
    </w:rPr>
  </w:style>
  <w:style w:type="paragraph" w:styleId="5">
    <w:name w:val="annotation text"/>
    <w:basedOn w:val="1"/>
    <w:link w:val="18"/>
    <w:qFormat/>
    <w:uiPriority w:val="0"/>
    <w:pPr>
      <w:jc w:val="left"/>
    </w:pPr>
  </w:style>
  <w:style w:type="paragraph" w:styleId="6">
    <w:name w:val="footer"/>
    <w:basedOn w:val="1"/>
    <w:link w:val="16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annotation reference"/>
    <w:basedOn w:val="9"/>
    <w:qFormat/>
    <w:uiPriority w:val="0"/>
    <w:rPr>
      <w:sz w:val="21"/>
      <w:szCs w:val="21"/>
    </w:rPr>
  </w:style>
  <w:style w:type="character" w:customStyle="1" w:styleId="13">
    <w:name w:val="标题 3 字符"/>
    <w:link w:val="3"/>
    <w:qFormat/>
    <w:uiPriority w:val="0"/>
    <w:rPr>
      <w:rFonts w:asciiTheme="minorHAnsi" w:hAnsiTheme="minorHAnsi" w:eastAsiaTheme="minorEastAsia"/>
      <w:b/>
      <w:sz w:val="28"/>
    </w:rPr>
  </w:style>
  <w:style w:type="character" w:customStyle="1" w:styleId="14">
    <w:name w:val="标题 2 字符"/>
    <w:link w:val="2"/>
    <w:qFormat/>
    <w:uiPriority w:val="0"/>
    <w:rPr>
      <w:rFonts w:ascii="Arial" w:hAnsi="Arial" w:eastAsia="黑体"/>
      <w:b/>
      <w:sz w:val="32"/>
    </w:rPr>
  </w:style>
  <w:style w:type="character" w:customStyle="1" w:styleId="15">
    <w:name w:val="页眉 字符"/>
    <w:basedOn w:val="9"/>
    <w:link w:val="7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6">
    <w:name w:val="页脚 字符"/>
    <w:basedOn w:val="9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7">
    <w:name w:val="Revision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customStyle="1" w:styleId="18">
    <w:name w:val="批注文字 字符"/>
    <w:basedOn w:val="9"/>
    <w:link w:val="5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character" w:customStyle="1" w:styleId="19">
    <w:name w:val="批注主题 字符"/>
    <w:basedOn w:val="18"/>
    <w:link w:val="4"/>
    <w:qFormat/>
    <w:uiPriority w:val="0"/>
    <w:rPr>
      <w:rFonts w:asciiTheme="minorHAnsi" w:hAnsiTheme="minorHAnsi" w:eastAsiaTheme="minorEastAsia" w:cstheme="minorBidi"/>
      <w:b/>
      <w:bCs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551</Words>
  <Characters>3143</Characters>
  <Lines>26</Lines>
  <Paragraphs>7</Paragraphs>
  <TotalTime>1</TotalTime>
  <ScaleCrop>false</ScaleCrop>
  <LinksUpToDate>false</LinksUpToDate>
  <CharactersWithSpaces>3687</CharactersWithSpaces>
  <Application>WPS Office_10.8.2.6784_F1E327BC-269C-435d-A152-05C5408002CA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2023-02-23T03:33:00Z</dcterms:created>
  <dc:creator>linx</dc:creator>
  <cp:lastModifiedBy>林昕</cp:lastModifiedBy>
  <dcterms:modified xsi:type="dcterms:W3CDTF">2023-03-23T03:04:51Z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  <property fmtid="{D5CDD505-2E9C-101B-9397-08002B2CF9AE}" pid="3" name="ICV">
    <vt:lpwstr>ED7B52BA3C132C18ADA1E36174934F40</vt:lpwstr>
  </property>
</Properties>
</file>