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87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20"/>
        <w:gridCol w:w="676"/>
        <w:gridCol w:w="240"/>
        <w:gridCol w:w="224"/>
        <w:gridCol w:w="703"/>
        <w:gridCol w:w="20"/>
        <w:gridCol w:w="975"/>
        <w:gridCol w:w="362"/>
        <w:gridCol w:w="1123"/>
        <w:gridCol w:w="442"/>
        <w:gridCol w:w="1073"/>
        <w:gridCol w:w="855"/>
        <w:gridCol w:w="502"/>
        <w:gridCol w:w="1429"/>
        <w:gridCol w:w="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2085" w:hRule="atLeast"/>
        </w:trPr>
        <w:tc>
          <w:tcPr>
            <w:tcW w:w="9859" w:type="dxa"/>
            <w:gridSpan w:val="1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方正姚体" w:hAnsi="宋体" w:eastAsia="方正姚体"/>
                <w:color w:val="000000"/>
                <w:spacing w:val="-80"/>
                <w:w w:val="80"/>
                <w:position w:val="-8"/>
                <w:sz w:val="84"/>
              </w:rPr>
            </w:pPr>
            <w:r>
              <w:rPr>
                <w:rFonts w:hint="default" w:ascii="方正姚体" w:hAnsi="宋体" w:eastAsia="方正姚体"/>
                <w:color w:val="000000"/>
                <w:spacing w:val="-80"/>
                <w:w w:val="80"/>
                <w:position w:val="-8"/>
                <w:sz w:val="84"/>
              </w:rPr>
              <w:t>中国人民政治协商会议福建省委员会提案</w:t>
            </w:r>
          </w:p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36"/>
              </w:rPr>
            </w:pPr>
            <w:r>
              <w:rPr>
                <w:rFonts w:hint="eastAsia" w:ascii="仿宋_GB2312" w:hAnsi="宋体" w:eastAsia="仿宋_GB2312"/>
                <w:sz w:val="36"/>
                <w:lang w:val="en-US" w:eastAsia="zh-CN"/>
              </w:rPr>
              <w:t>(集　体　提　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meetSessTime"/>
            <w:bookmarkEnd w:id="0"/>
            <w:r>
              <w:rPr>
                <w:rFonts w:hint="eastAsia" w:ascii="仿宋_GB2312" w:hAnsi="宋体" w:eastAsia="仿宋_GB2312"/>
                <w:sz w:val="24"/>
              </w:rPr>
              <w:t>届</w:t>
            </w:r>
          </w:p>
        </w:tc>
        <w:tc>
          <w:tcPr>
            <w:tcW w:w="947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次会议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提案编号：</w:t>
            </w:r>
            <w:bookmarkStart w:id="1" w:name="billNum"/>
            <w:bookmarkEnd w:id="1"/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20231117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提案日期：</w:t>
            </w:r>
            <w:bookmarkStart w:id="2" w:name="submitDate"/>
            <w:bookmarkEnd w:id="2"/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2023-01-09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319" w:hRule="atLeast"/>
        </w:trPr>
        <w:tc>
          <w:tcPr>
            <w:tcW w:w="9859" w:type="dxa"/>
            <w:gridSpan w:val="15"/>
            <w:noWrap w:val="0"/>
            <w:vAlign w:val="top"/>
          </w:tcPr>
          <w:p>
            <w:pPr>
              <w:rPr>
                <w:rFonts w:ascii="仿宋_GB2312" w:hAnsi="宋体" w:eastAsia="仿宋_GB2312"/>
                <w:sz w:val="10"/>
              </w:rPr>
            </w:pPr>
            <w:r>
              <w:rPr>
                <w:rFonts w:ascii="仿宋_GB2312" w:hAnsi="宋体" w:eastAsia="仿宋_GB231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3175</wp:posOffset>
                      </wp:positionV>
                      <wp:extent cx="6265545" cy="317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5545" cy="31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6pt;margin-top:0.25pt;height:0.25pt;width:493.35pt;z-index:251659264;mso-width-relative:page;mso-height-relative:page;" filled="f" stroked="t" coordsize="21600,21600" o:gfxdata="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moM0tQAAAAGAQAADwAAAAAAAAABACAAAAAiAAAAZHJzL2Rvd25yZXYueG1s&#10;UEsBAhQAFAAAAAgAh07iQMSgmqP8AQAA9gMAAA4AAAAAAAAAAQAgAAAAIwEAAGRycy9lMm9Eb2Mu&#10;eG1sUEsFBgAAAAAGAAYAWQEAAJEF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648" w:hRule="atLeast"/>
        </w:trPr>
        <w:tc>
          <w:tcPr>
            <w:tcW w:w="1015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案由：</w:t>
            </w:r>
            <w:bookmarkStart w:id="3" w:name="title"/>
            <w:bookmarkEnd w:id="3"/>
          </w:p>
        </w:tc>
        <w:tc>
          <w:tcPr>
            <w:tcW w:w="8844" w:type="dxa"/>
            <w:gridSpan w:val="14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关于加快推进我省预制菜产业高质量发展的建议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623" w:hRule="atLeast"/>
        </w:trPr>
        <w:tc>
          <w:tcPr>
            <w:tcW w:w="237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单位名称：（公章）</w:t>
            </w:r>
          </w:p>
        </w:tc>
        <w:tc>
          <w:tcPr>
            <w:tcW w:w="7484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福建师范大学委员小组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544" w:hRule="atLeast"/>
        </w:trPr>
        <w:tc>
          <w:tcPr>
            <w:tcW w:w="191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通讯地址：</w:t>
            </w: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jc w:val="left"/>
            </w:pPr>
            <w:r>
              <w:rPr>
                <w:rFonts w:hint="eastAsia" w:ascii="仿宋_GB2312" w:hAnsi="宋体" w:eastAsia="仿宋_GB2312"/>
                <w:sz w:val="24"/>
              </w:rPr>
              <w:t>福州市闽侯县上街镇学府南路8号福建师范大学党委统战部</w:t>
            </w: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邮政编码：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544" w:hRule="atLeast"/>
        </w:trPr>
        <w:tc>
          <w:tcPr>
            <w:tcW w:w="191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Email：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联系人：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闵华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联系电话：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jc w:val="left"/>
            </w:pPr>
            <w:r>
              <w:rPr>
                <w:rFonts w:hint="eastAsia" w:ascii="仿宋_GB2312" w:hAnsi="宋体" w:eastAsia="仿宋_GB2312"/>
                <w:sz w:val="24"/>
              </w:rPr>
              <w:t>13609539566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544" w:hRule="atLeast"/>
        </w:trPr>
        <w:tc>
          <w:tcPr>
            <w:tcW w:w="191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建议承办单位：</w:t>
            </w: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是否同意公开：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150" w:hRule="atLeast"/>
        </w:trPr>
        <w:tc>
          <w:tcPr>
            <w:tcW w:w="191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承办单位：</w:t>
            </w:r>
          </w:p>
        </w:tc>
        <w:tc>
          <w:tcPr>
            <w:tcW w:w="7948" w:type="dxa"/>
            <w:gridSpan w:val="12"/>
            <w:noWrap w:val="0"/>
            <w:vAlign w:val="center"/>
          </w:tcPr>
          <w:p>
            <w:pPr>
              <w:jc w:val="left"/>
            </w:pPr>
          </w:p>
        </w:tc>
      </w:tr>
    </w:tbl>
    <w:tbl>
      <w:tblPr>
        <w:tblStyle w:val="4"/>
        <w:tblpPr w:leftFromText="180" w:rightFromText="180" w:vertAnchor="text" w:horzAnchor="page" w:tblpX="1133" w:tblpY="49"/>
        <w:tblOverlap w:val="never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1" w:type="dxa"/>
            <w:noWrap w:val="0"/>
            <w:vAlign w:val="center"/>
          </w:tcPr>
          <w:p>
            <w:pPr>
              <w:tabs>
                <w:tab w:val="center" w:pos="1678"/>
              </w:tabs>
              <w:jc w:val="left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归口单位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承办单位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办理形式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政府系统</w:t>
            </w:r>
          </w:p>
        </w:tc>
        <w:tc>
          <w:p>
            <w:r>
              <w:t>省市场监督管理局</w:t>
            </w:r>
          </w:p>
        </w:tc>
        <w:tc>
          <w:p>
            <w:r>
              <w:t>分办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政府系统</w:t>
            </w:r>
          </w:p>
        </w:tc>
        <w:tc>
          <w:p>
            <w:r>
              <w:t>省农业农村厅</w:t>
            </w:r>
          </w:p>
        </w:tc>
        <w:tc>
          <w:p>
            <w:r>
              <w:t>分办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政府系统</w:t>
            </w:r>
          </w:p>
        </w:tc>
        <w:tc>
          <w:p>
            <w:r>
              <w:t>省商务厅</w:t>
            </w:r>
          </w:p>
        </w:tc>
        <w:tc>
          <w:p>
            <w:r>
              <w:t>分办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政府系统</w:t>
            </w:r>
          </w:p>
        </w:tc>
        <w:tc>
          <w:p>
            <w:r>
              <w:t>省工业和信息化厅</w:t>
            </w:r>
          </w:p>
        </w:tc>
        <w:tc>
          <w:p>
            <w:r>
              <w:t>分办</w:t>
            </w:r>
          </w:p>
        </w:tc>
      </w:tr>
    </w:tbl>
    <w:tbl>
      <w:tblPr>
        <w:tblStyle w:val="3"/>
        <w:tblpPr w:leftFromText="180" w:rightFromText="180" w:vertAnchor="text" w:horzAnchor="page" w:tblpX="993" w:tblpY="357"/>
        <w:tblOverlap w:val="never"/>
        <w:tblW w:w="98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8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联名</w:t>
            </w:r>
            <w:r>
              <w:rPr>
                <w:rFonts w:hint="eastAsia" w:ascii="仿宋_GB2312" w:hAnsi="宋体" w:eastAsia="仿宋_GB2312"/>
                <w:sz w:val="24"/>
                <w:lang w:val="en-US" w:eastAsia="zh-Hans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</w:p>
        </w:tc>
      </w:tr>
    </w:tbl>
    <w:tbl>
      <w:tblPr>
        <w:tblStyle w:val="3"/>
        <w:tblpPr w:leftFromText="180" w:rightFromText="180" w:vertAnchor="text" w:horzAnchor="page" w:tblpX="1148" w:tblpY="633"/>
        <w:tblOverlap w:val="never"/>
        <w:tblW w:w="9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653"/>
        <w:gridCol w:w="1653"/>
        <w:gridCol w:w="324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53" w:type="dxa"/>
            <w:noWrap w:val="0"/>
            <w:vAlign w:val="center"/>
          </w:tcPr>
          <w:p>
            <w:pPr>
              <w:tabs>
                <w:tab w:val="center" w:pos="1678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tabs>
                <w:tab w:val="center" w:pos="1678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tabs>
                <w:tab w:val="center" w:pos="1678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tabs>
                <w:tab w:val="center" w:pos="1678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center" w:pos="1678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</w:tr>
    </w:tbl>
    <w:p/>
    <w:p/>
    <w:tbl>
      <w:tblPr>
        <w:tblStyle w:val="3"/>
        <w:tblW w:w="9870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895"/>
        <w:gridCol w:w="1335"/>
        <w:gridCol w:w="1470"/>
        <w:gridCol w:w="1515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40" w:type="dxa"/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主题词：</w:t>
            </w:r>
            <w:bookmarkStart w:id="4" w:name="keywords"/>
            <w:bookmarkEnd w:id="4"/>
          </w:p>
        </w:tc>
        <w:tc>
          <w:tcPr>
            <w:tcW w:w="2895" w:type="dxa"/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5" w:type="dxa"/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收到日期：</w:t>
            </w:r>
          </w:p>
        </w:tc>
        <w:tc>
          <w:tcPr>
            <w:tcW w:w="1470" w:type="dxa"/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2023-01-09</w:t>
            </w:r>
          </w:p>
        </w:tc>
        <w:tc>
          <w:tcPr>
            <w:tcW w:w="1515" w:type="dxa"/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交办日期：</w:t>
            </w:r>
            <w:bookmarkStart w:id="5" w:name="jbOpDate"/>
            <w:bookmarkEnd w:id="5"/>
          </w:p>
        </w:tc>
        <w:tc>
          <w:tcPr>
            <w:tcW w:w="1515" w:type="dxa"/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2023-02-01 10:03:59</w:t>
            </w:r>
          </w:p>
        </w:tc>
      </w:tr>
    </w:tbl>
    <w:p/>
    <w:tbl>
      <w:tblPr>
        <w:tblStyle w:val="3"/>
        <w:tblpPr w:leftFromText="180" w:rightFromText="180" w:vertAnchor="text" w:horzAnchor="page" w:tblpXSpec="center" w:tblpY="213"/>
        <w:tblOverlap w:val="never"/>
        <w:tblW w:w="10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7" w:type="dxa"/>
            <w:tcBorders>
              <w:tl2br w:val="nil"/>
              <w:tr2bl w:val="nil"/>
            </w:tcBorders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背景、问题和分析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0117" w:type="dxa"/>
            <w:tcBorders>
              <w:tl2br w:val="nil"/>
              <w:tr2bl w:val="nil"/>
            </w:tcBorders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  <w:bookmarkStart w:id="6" w:name="proContent"/>
            <w:bookmarkEnd w:id="6"/>
            <w:r>
              <w:rPr>
                <w:rFonts w:hint="eastAsia" w:ascii="宋体" w:hAnsi="宋体"/>
                <w:sz w:val="24"/>
              </w:rPr>
              <w:t>在疫情“宅经济”、餐饮企业降本增效、消费观念变化等多重因素刺激下，预制菜市场需求呈现井喷式爆发趋势。目前，福建省预制菜产业发展水平居全国第三。从当前发展基础和市场空间来看，我省预制菜产业具有广阔的发展前景，但仍存在一些问题和困难：一是预制菜产业发展缺乏规范。长期以来预制菜行业进入门槛不高，且缺乏规范发展，近年来诸多传统农产品加工企业转型为预制菜生产企业，造成产业发展存在小、散、乱问题。二是食材标准化程度较低。福建虽然在农业、渔业原料生产端具有一定优势，但由于全省食品加工业现代化水平相对不高，标准化程度较低，导致预制菜产业产品品质难以保证。三是食品研发水平薄弱。目前福建最为出名的预制菜就是“佛跳墙”，其他地方特</w:t>
            </w:r>
            <w:bookmarkStart w:id="7" w:name="_GoBack"/>
            <w:bookmarkEnd w:id="7"/>
            <w:r>
              <w:rPr>
                <w:rFonts w:hint="eastAsia" w:ascii="宋体" w:hAnsi="宋体"/>
                <w:sz w:val="24"/>
              </w:rPr>
              <w:t>色产品不够突出，企业对食品的科技研发能力不足。</w:t>
            </w:r>
          </w:p>
        </w:tc>
      </w:tr>
    </w:tbl>
    <w:tbl>
      <w:tblPr>
        <w:tblStyle w:val="3"/>
        <w:tblpPr w:leftFromText="180" w:rightFromText="180" w:vertAnchor="text" w:horzAnchor="page" w:tblpX="1052" w:tblpY="251"/>
        <w:tblOverlap w:val="never"/>
        <w:tblW w:w="10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135" w:type="dxa"/>
            <w:tcBorders>
              <w:tl2br w:val="nil"/>
              <w:tr2bl w:val="nil"/>
            </w:tcBorders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建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0135" w:type="dxa"/>
            <w:tcBorders>
              <w:tl2br w:val="nil"/>
              <w:tr2bl w:val="nil"/>
            </w:tcBorders>
          </w:tcPr>
          <w:p>
            <w:pPr>
              <w:spacing w:line="0" w:lineRule="atLeast"/>
              <w:jc w:val="left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如何抢抓产业发展“新风口”，推进我省预制菜产业高质量发展，对培育壮大闽菜餐饮流通企业，推动闽菜供应链标准化、规模化、集约化发展均起到至关重要的作用。为此建议：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一、制订统一食品标准，提高行业准入。尽快制定预制菜行业标准，规范行业准入条件，从食材、配方、工艺等方面进行规范界定，从源头保障市场上供应的预制菜质量安全。建议市场监管部门制定严格的预制菜食品安全标准，强化食品生产许可管理，确保食品安全，为预制菜产业发展营造良好的行业自律环境。同时，完善不良企业处罚机制，通过“高额罚单”、列入“黑名单”、“从业禁止”等多种处罚机制，避免部分企业陷入恶性竞争，通过降低品质换取利益，进而破坏市场，甚至破坏整个预制菜行业的口碑。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二、加大政策扶持力度，推动预制菜产业转型。出台各种奖补激励政策，为预制菜企业提供税收、融资、转型等一系列支持。鼓励企业将信息化、智能化等先进技术应用于预制菜的生产、包装等方面，以智能化制造实现农产品加工的再工业化，提高我省预制菜产业现代化水平。同时加快布局一批符合预制菜标准的智能化冷库区、常温库区，保障冷链仓储服务供给，打造集低温加工、仓储保鲜、冷链配送于一体的冷链物流体系，解决预制菜产业链条长、环节多的痛点。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三、培育龙头企业，引领产业高质量发展。遴选扶持一批规模大、发展快、对产业链影响大的企业，建立预制菜产业重点企业培育库，实施“一企一策”专项培育，围绕资金、人才、技术、项目建立激励机制，支持企业新上预制菜产业项目。鼓励各地区围绕龙头企业，建设预制菜专业产业园，坚持集约化、规模化发展，打造功能完善、设施完备、服务配套的产业集中区，全力招引预制菜产业企业和产业链上下游配套企业入园发展，着力做强企业、做优园区、做实项目，打造特色鲜明、辐射力大、带动性强的预制菜中高端产业集群。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四、加强产学研深度合作，攻克食品加工技术。推动我省高等院校、科研院所、预制菜相关企业、农业龙头企业及行业组织共同建立预制菜产业研发平台，以支持预制菜产业技术创新为导向，积极响应食品科学前沿趋势，围绕预制菜产品开发的技术瓶颈，开发有竞争力的预制菜产品，打造属于福建的特色品牌。同时，鼓励科研人员驻园入企定向进行科技攻关，重点开展功能性、便利性、保健性预制菜研发，攻关固色、耐氧化、保鲜、灭菌、包装、贮运等技术难题，实现产学研联动。</w:t>
            </w:r>
            <w:r>
              <w:rPr>
                <w:rFonts w:hint="eastAsia" w:ascii="宋体" w:hAnsi="宋体"/>
                <w:sz w:val="24"/>
              </w:rPr>
              <w:br w:type="textWrapping"/>
            </w:r>
          </w:p>
        </w:tc>
      </w:tr>
    </w:tbl>
    <w:p/>
    <w:p>
      <w:pPr>
        <w:spacing w:line="0" w:lineRule="atLeast"/>
        <w:jc w:val="left"/>
      </w:pPr>
    </w:p>
    <w:p>
      <w:pPr>
        <w:spacing w:line="0" w:lineRule="atLeast"/>
        <w:jc w:val="left"/>
      </w:pPr>
    </w:p>
    <w:p>
      <w:pPr>
        <w:spacing w:line="0" w:lineRule="atLeast"/>
        <w:jc w:val="left"/>
      </w:pPr>
    </w:p>
    <w:p>
      <w:pPr>
        <w:spacing w:line="0" w:lineRule="atLeast"/>
        <w:jc w:val="left"/>
      </w:pPr>
    </w:p>
    <w:p>
      <w:pPr>
        <w:spacing w:line="0" w:lineRule="atLeast"/>
        <w:jc w:val="left"/>
      </w:pPr>
    </w:p>
    <w:p>
      <w:pPr>
        <w:spacing w:line="0" w:lineRule="atLeas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wMzEzYTNmMmY4YTFiOGYyYjNjOWQwOTg3YTQ0NzIifQ=="/>
  </w:docVars>
  <w:rsids>
    <w:rsidRoot w:val="00172A27"/>
    <w:rsid w:val="00083D7B"/>
    <w:rsid w:val="000B5FB9"/>
    <w:rsid w:val="00172A27"/>
    <w:rsid w:val="0043208D"/>
    <w:rsid w:val="00465B3A"/>
    <w:rsid w:val="00552E6C"/>
    <w:rsid w:val="005C5E99"/>
    <w:rsid w:val="00674CC2"/>
    <w:rsid w:val="007007B9"/>
    <w:rsid w:val="00804653"/>
    <w:rsid w:val="008B6DCD"/>
    <w:rsid w:val="009A62F8"/>
    <w:rsid w:val="009E5D78"/>
    <w:rsid w:val="009E6AF8"/>
    <w:rsid w:val="00B54D34"/>
    <w:rsid w:val="00BB7BFB"/>
    <w:rsid w:val="00C4313A"/>
    <w:rsid w:val="00C73A11"/>
    <w:rsid w:val="00C773F4"/>
    <w:rsid w:val="00CF12D6"/>
    <w:rsid w:val="00D52C72"/>
    <w:rsid w:val="00DD73B5"/>
    <w:rsid w:val="00EF75E8"/>
    <w:rsid w:val="00F32C19"/>
    <w:rsid w:val="00F33523"/>
    <w:rsid w:val="00F64A26"/>
    <w:rsid w:val="00FB1F9F"/>
    <w:rsid w:val="00FF34F4"/>
    <w:rsid w:val="056F4631"/>
    <w:rsid w:val="07005E15"/>
    <w:rsid w:val="072C2A4D"/>
    <w:rsid w:val="07DC73D7"/>
    <w:rsid w:val="07F01E1C"/>
    <w:rsid w:val="08004DC7"/>
    <w:rsid w:val="080D3AB0"/>
    <w:rsid w:val="09C50346"/>
    <w:rsid w:val="0A645BC5"/>
    <w:rsid w:val="0A801619"/>
    <w:rsid w:val="0ADC3C8A"/>
    <w:rsid w:val="0B6C18AB"/>
    <w:rsid w:val="0C10429D"/>
    <w:rsid w:val="0C377631"/>
    <w:rsid w:val="0CF4009D"/>
    <w:rsid w:val="0DDC6B7D"/>
    <w:rsid w:val="12760A45"/>
    <w:rsid w:val="12A90552"/>
    <w:rsid w:val="12B73EE7"/>
    <w:rsid w:val="13F93B64"/>
    <w:rsid w:val="144B0EEA"/>
    <w:rsid w:val="14712576"/>
    <w:rsid w:val="14FF4998"/>
    <w:rsid w:val="15707F1B"/>
    <w:rsid w:val="15C4281B"/>
    <w:rsid w:val="15E27A12"/>
    <w:rsid w:val="15F67EAB"/>
    <w:rsid w:val="16FF3FC3"/>
    <w:rsid w:val="17435077"/>
    <w:rsid w:val="17785C5D"/>
    <w:rsid w:val="1874744B"/>
    <w:rsid w:val="192C7DDB"/>
    <w:rsid w:val="1A525E7F"/>
    <w:rsid w:val="1B0342CC"/>
    <w:rsid w:val="1C0227D6"/>
    <w:rsid w:val="1C816A9D"/>
    <w:rsid w:val="1D0350DA"/>
    <w:rsid w:val="1D252B2C"/>
    <w:rsid w:val="1FA51629"/>
    <w:rsid w:val="1FAA9580"/>
    <w:rsid w:val="1FC31050"/>
    <w:rsid w:val="217727D5"/>
    <w:rsid w:val="22226F06"/>
    <w:rsid w:val="22567B5C"/>
    <w:rsid w:val="22B74106"/>
    <w:rsid w:val="25191421"/>
    <w:rsid w:val="25B2639B"/>
    <w:rsid w:val="27936C27"/>
    <w:rsid w:val="287741F8"/>
    <w:rsid w:val="299D77C8"/>
    <w:rsid w:val="2A945AFF"/>
    <w:rsid w:val="2A9C4383"/>
    <w:rsid w:val="2C2A6DC3"/>
    <w:rsid w:val="2CB23E64"/>
    <w:rsid w:val="2D1E2D9A"/>
    <w:rsid w:val="2DDF2546"/>
    <w:rsid w:val="2E070F86"/>
    <w:rsid w:val="2E2943DC"/>
    <w:rsid w:val="2E937DCA"/>
    <w:rsid w:val="2EB97E03"/>
    <w:rsid w:val="2EFF5DCC"/>
    <w:rsid w:val="2FB5417A"/>
    <w:rsid w:val="2FCF3926"/>
    <w:rsid w:val="32746F04"/>
    <w:rsid w:val="3374171C"/>
    <w:rsid w:val="33B27EB7"/>
    <w:rsid w:val="34021641"/>
    <w:rsid w:val="351759D1"/>
    <w:rsid w:val="351B57BB"/>
    <w:rsid w:val="353270E7"/>
    <w:rsid w:val="35DF11B0"/>
    <w:rsid w:val="363F5071"/>
    <w:rsid w:val="3663744F"/>
    <w:rsid w:val="3776689D"/>
    <w:rsid w:val="379C7A06"/>
    <w:rsid w:val="37D331B7"/>
    <w:rsid w:val="37EEE191"/>
    <w:rsid w:val="38043F0A"/>
    <w:rsid w:val="3AEA849C"/>
    <w:rsid w:val="3AFFF563"/>
    <w:rsid w:val="3B340DC0"/>
    <w:rsid w:val="3BA67E0E"/>
    <w:rsid w:val="3BB74E97"/>
    <w:rsid w:val="3BE75075"/>
    <w:rsid w:val="3C553457"/>
    <w:rsid w:val="3CF17FD1"/>
    <w:rsid w:val="3D5CDA1B"/>
    <w:rsid w:val="3D94095C"/>
    <w:rsid w:val="3D975CCF"/>
    <w:rsid w:val="3DFB551E"/>
    <w:rsid w:val="3E6E341E"/>
    <w:rsid w:val="3FBDDC4C"/>
    <w:rsid w:val="3FDAE946"/>
    <w:rsid w:val="3FFF30DA"/>
    <w:rsid w:val="400E6896"/>
    <w:rsid w:val="40736F4F"/>
    <w:rsid w:val="448B71F7"/>
    <w:rsid w:val="45410DA8"/>
    <w:rsid w:val="458F05E1"/>
    <w:rsid w:val="45971FB8"/>
    <w:rsid w:val="462705C0"/>
    <w:rsid w:val="46840DB4"/>
    <w:rsid w:val="47702CA2"/>
    <w:rsid w:val="486F624E"/>
    <w:rsid w:val="49D879D2"/>
    <w:rsid w:val="49DA1187"/>
    <w:rsid w:val="4A8F2BD7"/>
    <w:rsid w:val="4BDEB302"/>
    <w:rsid w:val="4D124175"/>
    <w:rsid w:val="4D423D89"/>
    <w:rsid w:val="4DAD1349"/>
    <w:rsid w:val="4EC15329"/>
    <w:rsid w:val="4EFF9260"/>
    <w:rsid w:val="4F7D6819"/>
    <w:rsid w:val="4F8178F4"/>
    <w:rsid w:val="515A6C38"/>
    <w:rsid w:val="51A52698"/>
    <w:rsid w:val="51E7154B"/>
    <w:rsid w:val="51FBB4B6"/>
    <w:rsid w:val="52B36634"/>
    <w:rsid w:val="52D60BA5"/>
    <w:rsid w:val="53623FE2"/>
    <w:rsid w:val="53B73894"/>
    <w:rsid w:val="53EE278B"/>
    <w:rsid w:val="563D3F92"/>
    <w:rsid w:val="56694F0C"/>
    <w:rsid w:val="568C3212"/>
    <w:rsid w:val="57A20565"/>
    <w:rsid w:val="57FD40B5"/>
    <w:rsid w:val="585234F2"/>
    <w:rsid w:val="5A5202B4"/>
    <w:rsid w:val="5ACF317A"/>
    <w:rsid w:val="5AF36F3E"/>
    <w:rsid w:val="5B1E36A9"/>
    <w:rsid w:val="5B510DA8"/>
    <w:rsid w:val="5B892EBA"/>
    <w:rsid w:val="5BAB7864"/>
    <w:rsid w:val="5BDB5C7C"/>
    <w:rsid w:val="5C3B3210"/>
    <w:rsid w:val="5C955A2F"/>
    <w:rsid w:val="5D4F9DED"/>
    <w:rsid w:val="5EBE2B4B"/>
    <w:rsid w:val="5F002FCF"/>
    <w:rsid w:val="5F592A0A"/>
    <w:rsid w:val="5F5987B0"/>
    <w:rsid w:val="5F7F4C86"/>
    <w:rsid w:val="5FBE87DF"/>
    <w:rsid w:val="5FCD3205"/>
    <w:rsid w:val="5FFDC77B"/>
    <w:rsid w:val="5FFFF100"/>
    <w:rsid w:val="60880C10"/>
    <w:rsid w:val="620B0FA8"/>
    <w:rsid w:val="62C92CD3"/>
    <w:rsid w:val="64F77A5B"/>
    <w:rsid w:val="658E601F"/>
    <w:rsid w:val="65A30037"/>
    <w:rsid w:val="65AB4BA2"/>
    <w:rsid w:val="65EC004B"/>
    <w:rsid w:val="66A07F49"/>
    <w:rsid w:val="670D6F06"/>
    <w:rsid w:val="67506F2E"/>
    <w:rsid w:val="67D62E23"/>
    <w:rsid w:val="68243A3C"/>
    <w:rsid w:val="68864FD8"/>
    <w:rsid w:val="68B260DD"/>
    <w:rsid w:val="68EF1741"/>
    <w:rsid w:val="695D2BB1"/>
    <w:rsid w:val="6B050509"/>
    <w:rsid w:val="6CE33EE4"/>
    <w:rsid w:val="6D1D3AE5"/>
    <w:rsid w:val="6DDC538E"/>
    <w:rsid w:val="6E7E21A7"/>
    <w:rsid w:val="6E7E6A48"/>
    <w:rsid w:val="6E8206E2"/>
    <w:rsid w:val="6ED5BEA0"/>
    <w:rsid w:val="6F7F29DC"/>
    <w:rsid w:val="6F814151"/>
    <w:rsid w:val="6FF72890"/>
    <w:rsid w:val="6FF7CF4E"/>
    <w:rsid w:val="6FFE213E"/>
    <w:rsid w:val="6FFF71FF"/>
    <w:rsid w:val="70F76875"/>
    <w:rsid w:val="714664B0"/>
    <w:rsid w:val="724F7772"/>
    <w:rsid w:val="728D43FD"/>
    <w:rsid w:val="735E23C7"/>
    <w:rsid w:val="73FE67D3"/>
    <w:rsid w:val="74B944F3"/>
    <w:rsid w:val="753876AB"/>
    <w:rsid w:val="760D0CD1"/>
    <w:rsid w:val="770F2800"/>
    <w:rsid w:val="772B16A0"/>
    <w:rsid w:val="776F26C4"/>
    <w:rsid w:val="777B0ADA"/>
    <w:rsid w:val="77B56C0D"/>
    <w:rsid w:val="77DFA684"/>
    <w:rsid w:val="783F1485"/>
    <w:rsid w:val="787E6B0E"/>
    <w:rsid w:val="7AB58282"/>
    <w:rsid w:val="7ADF7357"/>
    <w:rsid w:val="7AF19A35"/>
    <w:rsid w:val="7AF7AB83"/>
    <w:rsid w:val="7AFA42B0"/>
    <w:rsid w:val="7BBF71F0"/>
    <w:rsid w:val="7BC6EFFA"/>
    <w:rsid w:val="7C661C28"/>
    <w:rsid w:val="7CC7321A"/>
    <w:rsid w:val="7CD47820"/>
    <w:rsid w:val="7CEFFE8E"/>
    <w:rsid w:val="7D56740C"/>
    <w:rsid w:val="7EABFA32"/>
    <w:rsid w:val="7EF304BE"/>
    <w:rsid w:val="7F371109"/>
    <w:rsid w:val="7F6AB54F"/>
    <w:rsid w:val="7F7CD7A7"/>
    <w:rsid w:val="7F7D6E25"/>
    <w:rsid w:val="7F7DBE08"/>
    <w:rsid w:val="7F7FF659"/>
    <w:rsid w:val="7F870928"/>
    <w:rsid w:val="7FB53AE3"/>
    <w:rsid w:val="7FD7F7B8"/>
    <w:rsid w:val="7FF182DC"/>
    <w:rsid w:val="9F42AEBF"/>
    <w:rsid w:val="9FBF7A88"/>
    <w:rsid w:val="A777A605"/>
    <w:rsid w:val="AFFE5F29"/>
    <w:rsid w:val="B3E5B0FE"/>
    <w:rsid w:val="B6EFB390"/>
    <w:rsid w:val="BDF73B4E"/>
    <w:rsid w:val="BDFD3BD7"/>
    <w:rsid w:val="BFEF4F04"/>
    <w:rsid w:val="BFF92F90"/>
    <w:rsid w:val="C6FFA963"/>
    <w:rsid w:val="CB7E7F29"/>
    <w:rsid w:val="CFC7AB36"/>
    <w:rsid w:val="D6E3C2DF"/>
    <w:rsid w:val="DBBDD7CD"/>
    <w:rsid w:val="DD69FB75"/>
    <w:rsid w:val="DDFA3188"/>
    <w:rsid w:val="DEA6CB05"/>
    <w:rsid w:val="DF7F601F"/>
    <w:rsid w:val="DFAA65D6"/>
    <w:rsid w:val="DFBB9646"/>
    <w:rsid w:val="DFFA7E87"/>
    <w:rsid w:val="DFFDC99D"/>
    <w:rsid w:val="DFFFB00B"/>
    <w:rsid w:val="E57F1C0A"/>
    <w:rsid w:val="E741A6A2"/>
    <w:rsid w:val="E7FF5B9E"/>
    <w:rsid w:val="ECEF3931"/>
    <w:rsid w:val="ED685F5F"/>
    <w:rsid w:val="EEEBCFFD"/>
    <w:rsid w:val="EFAFED17"/>
    <w:rsid w:val="EFBE17AB"/>
    <w:rsid w:val="F23F0026"/>
    <w:rsid w:val="F7679C27"/>
    <w:rsid w:val="F8F9C7E0"/>
    <w:rsid w:val="FA7E509D"/>
    <w:rsid w:val="FBBDA9E5"/>
    <w:rsid w:val="FBFFB737"/>
    <w:rsid w:val="FCF70BC2"/>
    <w:rsid w:val="FD6EC9F4"/>
    <w:rsid w:val="FDF9C634"/>
    <w:rsid w:val="FE5A7583"/>
    <w:rsid w:val="FEFFF187"/>
    <w:rsid w:val="FF7F48BF"/>
    <w:rsid w:val="FF9FF2DD"/>
    <w:rsid w:val="FFAE918D"/>
    <w:rsid w:val="FFAF7218"/>
    <w:rsid w:val="FFBD31A2"/>
    <w:rsid w:val="FFE3BCAB"/>
    <w:rsid w:val="FFF54753"/>
    <w:rsid w:val="FFFBF745"/>
    <w:rsid w:val="FF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1563</Words>
  <Characters>1619</Characters>
  <Lines>3</Lines>
  <Paragraphs>1</Paragraphs>
  <TotalTime>0</TotalTime>
  <ScaleCrop>false</ScaleCrop>
  <LinksUpToDate>false</LinksUpToDate>
  <CharactersWithSpaces>1629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2022-02-13T07:09:00Z</dcterms:created>
  <dc:creator>fzly</dc:creator>
  <cp:lastModifiedBy>阳春三月</cp:lastModifiedBy>
  <cp:lastPrinted>2023-06-07T07:26:24Z</cp:lastPrinted>
  <dcterms:modified xsi:type="dcterms:W3CDTF">2023-06-07T07:26:49Z</dcterms:modified>
  <dc:title>${title}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A28B149CE3684066B1BA05549E9E9D48</vt:lpwstr>
  </property>
</Properties>
</file>